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7D2" w:rsidRPr="00C817B7" w:rsidRDefault="003E77D2" w:rsidP="003E77D2">
      <w:pPr>
        <w:rPr>
          <w:rFonts w:asciiTheme="minorHAnsi" w:eastAsia="Times New Roman" w:hAnsiTheme="minorHAnsi" w:cstheme="minorHAnsi"/>
          <w:sz w:val="22"/>
          <w:szCs w:val="22"/>
        </w:rPr>
      </w:pPr>
      <w:r w:rsidRPr="00C817B7">
        <w:rPr>
          <w:rFonts w:asciiTheme="minorHAnsi" w:eastAsia="Times New Roman" w:hAnsiTheme="minorHAnsi" w:cstheme="minorHAnsi"/>
          <w:b/>
          <w:bCs/>
          <w:sz w:val="22"/>
          <w:szCs w:val="22"/>
          <w:u w:val="single"/>
        </w:rPr>
        <w:t>Session 2:</w:t>
      </w:r>
      <w:r w:rsidRPr="00C817B7">
        <w:rPr>
          <w:rStyle w:val="apple-style-span"/>
          <w:rFonts w:asciiTheme="minorHAnsi" w:eastAsia="Times New Roman" w:hAnsiTheme="minorHAnsi" w:cstheme="minorHAnsi"/>
          <w:b/>
          <w:bCs/>
          <w:sz w:val="22"/>
          <w:szCs w:val="22"/>
          <w:u w:val="single"/>
        </w:rPr>
        <w:t> Non-Specialist’s Approach to Pus in the Muscle, Bone and Joint</w:t>
      </w:r>
    </w:p>
    <w:p w:rsidR="003E77D2" w:rsidRPr="00C817B7" w:rsidRDefault="003E77D2" w:rsidP="003E77D2">
      <w:pPr>
        <w:rPr>
          <w:rFonts w:asciiTheme="minorHAnsi" w:eastAsia="Times New Roman" w:hAnsiTheme="minorHAnsi" w:cstheme="minorHAnsi"/>
          <w:sz w:val="22"/>
          <w:szCs w:val="22"/>
        </w:rPr>
      </w:pPr>
    </w:p>
    <w:p w:rsidR="003E77D2" w:rsidRPr="00C817B7" w:rsidRDefault="003E77D2" w:rsidP="003E77D2">
      <w:pPr>
        <w:rPr>
          <w:rFonts w:asciiTheme="minorHAnsi" w:eastAsia="Times New Roman" w:hAnsiTheme="minorHAnsi" w:cstheme="minorHAnsi"/>
          <w:sz w:val="22"/>
          <w:szCs w:val="22"/>
        </w:rPr>
      </w:pPr>
      <w:r w:rsidRPr="00C817B7">
        <w:rPr>
          <w:rStyle w:val="apple-style-span"/>
          <w:rFonts w:asciiTheme="minorHAnsi" w:eastAsia="Times New Roman" w:hAnsiTheme="minorHAnsi" w:cstheme="minorHAnsi"/>
          <w:sz w:val="22"/>
          <w:szCs w:val="22"/>
        </w:rPr>
        <w:t xml:space="preserve">Description: Relatively uncommon in N. America, tropical </w:t>
      </w:r>
      <w:proofErr w:type="spellStart"/>
      <w:r w:rsidRPr="00C817B7">
        <w:rPr>
          <w:rStyle w:val="apple-style-span"/>
          <w:rFonts w:asciiTheme="minorHAnsi" w:eastAsia="Times New Roman" w:hAnsiTheme="minorHAnsi" w:cstheme="minorHAnsi"/>
          <w:sz w:val="22"/>
          <w:szCs w:val="22"/>
        </w:rPr>
        <w:t>pyomyositis</w:t>
      </w:r>
      <w:proofErr w:type="spellEnd"/>
      <w:r w:rsidRPr="00C817B7">
        <w:rPr>
          <w:rStyle w:val="apple-style-span"/>
          <w:rFonts w:asciiTheme="minorHAnsi" w:eastAsia="Times New Roman" w:hAnsiTheme="minorHAnsi" w:cstheme="minorHAnsi"/>
          <w:sz w:val="22"/>
          <w:szCs w:val="22"/>
        </w:rPr>
        <w:t xml:space="preserve">, acute and chronic osteomyelitis and septic arthritis are frequently encountered by medical missionaries in the developing world. Resources may be poor and specialists rare. This session is designed to give the </w:t>
      </w:r>
      <w:proofErr w:type="spellStart"/>
      <w:r w:rsidRPr="00C817B7">
        <w:rPr>
          <w:rStyle w:val="apple-style-span"/>
          <w:rFonts w:asciiTheme="minorHAnsi" w:eastAsia="Times New Roman" w:hAnsiTheme="minorHAnsi" w:cstheme="minorHAnsi"/>
          <w:sz w:val="22"/>
          <w:szCs w:val="22"/>
        </w:rPr>
        <w:t>nonspecialist</w:t>
      </w:r>
      <w:proofErr w:type="spellEnd"/>
      <w:r w:rsidRPr="00C817B7">
        <w:rPr>
          <w:rStyle w:val="apple-style-span"/>
          <w:rFonts w:asciiTheme="minorHAnsi" w:eastAsia="Times New Roman" w:hAnsiTheme="minorHAnsi" w:cstheme="minorHAnsi"/>
          <w:sz w:val="22"/>
          <w:szCs w:val="22"/>
        </w:rPr>
        <w:t xml:space="preserve"> medico a practical, case-oriented approach to these problems.</w:t>
      </w:r>
    </w:p>
    <w:p w:rsidR="003E77D2" w:rsidRPr="00C817B7" w:rsidRDefault="003E77D2" w:rsidP="003E77D2">
      <w:pPr>
        <w:rPr>
          <w:rFonts w:asciiTheme="minorHAnsi" w:eastAsia="Times New Roman" w:hAnsiTheme="minorHAnsi" w:cstheme="minorHAnsi"/>
          <w:sz w:val="22"/>
          <w:szCs w:val="22"/>
        </w:rPr>
      </w:pPr>
    </w:p>
    <w:p w:rsidR="003E77D2" w:rsidRPr="00C817B7" w:rsidRDefault="003E77D2" w:rsidP="003E77D2">
      <w:pPr>
        <w:rPr>
          <w:rFonts w:asciiTheme="minorHAnsi" w:eastAsia="Times New Roman" w:hAnsiTheme="minorHAnsi" w:cstheme="minorHAnsi"/>
          <w:sz w:val="22"/>
          <w:szCs w:val="22"/>
        </w:rPr>
      </w:pPr>
      <w:r w:rsidRPr="00C817B7">
        <w:rPr>
          <w:rStyle w:val="apple-style-span"/>
          <w:rFonts w:asciiTheme="minorHAnsi" w:eastAsia="Times New Roman" w:hAnsiTheme="minorHAnsi" w:cstheme="minorHAnsi"/>
          <w:sz w:val="22"/>
          <w:szCs w:val="22"/>
        </w:rPr>
        <w:t>Session Problem: Limited knowledge, limited diagnostic skills and limited invasive skills by medical practitioners can lead to delayed diagnosis, excessive patient suffering and avoidable disability.</w:t>
      </w:r>
    </w:p>
    <w:p w:rsidR="003E77D2" w:rsidRPr="00C817B7" w:rsidRDefault="003E77D2" w:rsidP="003E77D2">
      <w:pPr>
        <w:rPr>
          <w:rFonts w:asciiTheme="minorHAnsi" w:eastAsia="Times New Roman" w:hAnsiTheme="minorHAnsi" w:cstheme="minorHAnsi"/>
          <w:sz w:val="22"/>
          <w:szCs w:val="22"/>
        </w:rPr>
      </w:pPr>
    </w:p>
    <w:p w:rsidR="003E77D2" w:rsidRPr="00C817B7" w:rsidRDefault="003E77D2" w:rsidP="003E77D2">
      <w:pPr>
        <w:rPr>
          <w:rStyle w:val="apple-style-span"/>
          <w:rFonts w:asciiTheme="minorHAnsi" w:eastAsia="Times New Roman" w:hAnsiTheme="minorHAnsi" w:cstheme="minorHAnsi"/>
          <w:sz w:val="22"/>
          <w:szCs w:val="22"/>
        </w:rPr>
      </w:pPr>
      <w:r w:rsidRPr="00C817B7">
        <w:rPr>
          <w:rStyle w:val="apple-style-span"/>
          <w:rFonts w:asciiTheme="minorHAnsi" w:eastAsia="Times New Roman" w:hAnsiTheme="minorHAnsi" w:cstheme="minorHAnsi"/>
          <w:sz w:val="22"/>
          <w:szCs w:val="22"/>
        </w:rPr>
        <w:t>Session Solution: A better understanding of these conditions and the underlying pathology will allow a higher index of suspicion, more rapid diagnosis and more rapid intervention. It will also give tools and approaches to cure those conditions which might be cured in the setting of limited resources and where cure is not possible, prevent disability and set reasonable expectation without depleting mission and patient resources.</w:t>
      </w:r>
    </w:p>
    <w:p w:rsidR="003E77D2" w:rsidRPr="00C817B7" w:rsidRDefault="003E77D2" w:rsidP="003E77D2">
      <w:pPr>
        <w:rPr>
          <w:rStyle w:val="apple-style-span"/>
          <w:rFonts w:asciiTheme="minorHAnsi" w:eastAsia="Times New Roman" w:hAnsiTheme="minorHAnsi" w:cstheme="minorHAnsi"/>
          <w:sz w:val="22"/>
          <w:szCs w:val="22"/>
        </w:rPr>
      </w:pPr>
    </w:p>
    <w:p w:rsidR="003E77D2" w:rsidRPr="00C817B7" w:rsidRDefault="003E77D2" w:rsidP="003E77D2">
      <w:pPr>
        <w:pStyle w:val="ListParagraph"/>
        <w:numPr>
          <w:ilvl w:val="0"/>
          <w:numId w:val="1"/>
        </w:numPr>
        <w:spacing w:after="200" w:line="276" w:lineRule="auto"/>
        <w:rPr>
          <w:rFonts w:asciiTheme="minorHAnsi" w:hAnsiTheme="minorHAnsi" w:cstheme="minorHAnsi"/>
          <w:sz w:val="22"/>
          <w:szCs w:val="22"/>
        </w:rPr>
      </w:pPr>
      <w:r w:rsidRPr="00C817B7">
        <w:rPr>
          <w:rFonts w:asciiTheme="minorHAnsi" w:hAnsiTheme="minorHAnsi" w:cstheme="minorHAnsi"/>
          <w:sz w:val="22"/>
          <w:szCs w:val="22"/>
        </w:rPr>
        <w:t xml:space="preserve">PID – “Pus </w:t>
      </w:r>
      <w:proofErr w:type="gramStart"/>
      <w:r w:rsidRPr="00C817B7">
        <w:rPr>
          <w:rFonts w:asciiTheme="minorHAnsi" w:hAnsiTheme="minorHAnsi" w:cstheme="minorHAnsi"/>
          <w:sz w:val="22"/>
          <w:szCs w:val="22"/>
        </w:rPr>
        <w:t>In</w:t>
      </w:r>
      <w:proofErr w:type="gramEnd"/>
      <w:r w:rsidRPr="00C817B7">
        <w:rPr>
          <w:rFonts w:asciiTheme="minorHAnsi" w:hAnsiTheme="minorHAnsi" w:cstheme="minorHAnsi"/>
          <w:sz w:val="22"/>
          <w:szCs w:val="22"/>
        </w:rPr>
        <w:t xml:space="preserve"> </w:t>
      </w:r>
      <w:proofErr w:type="spellStart"/>
      <w:r w:rsidRPr="00C817B7">
        <w:rPr>
          <w:rFonts w:asciiTheme="minorHAnsi" w:hAnsiTheme="minorHAnsi" w:cstheme="minorHAnsi"/>
          <w:sz w:val="22"/>
          <w:szCs w:val="22"/>
        </w:rPr>
        <w:t>Dere</w:t>
      </w:r>
      <w:proofErr w:type="spellEnd"/>
      <w:r w:rsidRPr="00C817B7">
        <w:rPr>
          <w:rFonts w:asciiTheme="minorHAnsi" w:hAnsiTheme="minorHAnsi" w:cstheme="minorHAnsi"/>
          <w:sz w:val="22"/>
          <w:szCs w:val="22"/>
        </w:rPr>
        <w:t xml:space="preserve">” – Muscle, joints and bone.  A very common problem in some areas. Syndromes of </w:t>
      </w:r>
      <w:proofErr w:type="spellStart"/>
      <w:r w:rsidRPr="00C817B7">
        <w:rPr>
          <w:rFonts w:asciiTheme="minorHAnsi" w:hAnsiTheme="minorHAnsi" w:cstheme="minorHAnsi"/>
          <w:sz w:val="22"/>
          <w:szCs w:val="22"/>
        </w:rPr>
        <w:t>pyomyositis</w:t>
      </w:r>
      <w:proofErr w:type="spellEnd"/>
      <w:r w:rsidRPr="00C817B7">
        <w:rPr>
          <w:rFonts w:asciiTheme="minorHAnsi" w:hAnsiTheme="minorHAnsi" w:cstheme="minorHAnsi"/>
          <w:sz w:val="22"/>
          <w:szCs w:val="22"/>
        </w:rPr>
        <w:t xml:space="preserve">, septic arthritis and acute osteomyelitis may overlap since the cause (hematogenous spread) and the bacteria (usually Staph) is the </w:t>
      </w:r>
      <w:proofErr w:type="gramStart"/>
      <w:r w:rsidRPr="00C817B7">
        <w:rPr>
          <w:rFonts w:asciiTheme="minorHAnsi" w:hAnsiTheme="minorHAnsi" w:cstheme="minorHAnsi"/>
          <w:sz w:val="22"/>
          <w:szCs w:val="22"/>
        </w:rPr>
        <w:t>same.</w:t>
      </w:r>
      <w:proofErr w:type="gramEnd"/>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r w:rsidRPr="00C817B7">
        <w:rPr>
          <w:rFonts w:asciiTheme="minorHAnsi" w:hAnsiTheme="minorHAnsi" w:cstheme="minorHAnsi"/>
          <w:sz w:val="22"/>
          <w:szCs w:val="22"/>
        </w:rPr>
        <w:t xml:space="preserve">Ignoring the usual PID (Pelvic Inflammatory Disease) for this lecture because, while very common, it is remarkable from its counterpart in the Developed World only by its often delayed presentation. </w:t>
      </w:r>
    </w:p>
    <w:p w:rsidR="003E77D2" w:rsidRPr="00C817B7" w:rsidRDefault="007A10B3" w:rsidP="003E77D2">
      <w:pPr>
        <w:pStyle w:val="ListParagraph"/>
        <w:numPr>
          <w:ilvl w:val="2"/>
          <w:numId w:val="1"/>
        </w:numPr>
        <w:spacing w:after="200" w:line="276" w:lineRule="auto"/>
        <w:ind w:left="1440"/>
        <w:rPr>
          <w:rFonts w:asciiTheme="minorHAnsi" w:hAnsiTheme="minorHAnsi" w:cstheme="minorHAnsi"/>
          <w:sz w:val="22"/>
          <w:szCs w:val="22"/>
        </w:rPr>
      </w:pPr>
      <w:hyperlink r:id="rId7" w:history="1">
        <w:r w:rsidR="003E77D2" w:rsidRPr="00C817B7">
          <w:rPr>
            <w:rStyle w:val="Hyperlink"/>
            <w:rFonts w:asciiTheme="minorHAnsi" w:hAnsiTheme="minorHAnsi" w:cstheme="minorHAnsi"/>
            <w:sz w:val="22"/>
            <w:szCs w:val="22"/>
          </w:rPr>
          <w:t>http://www.primary-surgery.org/ps/vol1/ch-7.pdf</w:t>
        </w:r>
      </w:hyperlink>
      <w:r w:rsidR="003E77D2" w:rsidRPr="00C817B7">
        <w:rPr>
          <w:rFonts w:asciiTheme="minorHAnsi" w:hAnsiTheme="minorHAnsi" w:cstheme="minorHAnsi"/>
          <w:sz w:val="22"/>
          <w:szCs w:val="22"/>
        </w:rPr>
        <w:t xml:space="preserve"> is a good chapter for the care of this in austere environments</w:t>
      </w:r>
    </w:p>
    <w:p w:rsidR="003E77D2" w:rsidRPr="00C817B7" w:rsidRDefault="003E77D2" w:rsidP="003E77D2">
      <w:pPr>
        <w:pStyle w:val="ListParagraph"/>
        <w:numPr>
          <w:ilvl w:val="0"/>
          <w:numId w:val="1"/>
        </w:numPr>
        <w:spacing w:after="200" w:line="276" w:lineRule="auto"/>
        <w:rPr>
          <w:rFonts w:asciiTheme="minorHAnsi" w:hAnsiTheme="minorHAnsi" w:cstheme="minorHAnsi"/>
          <w:sz w:val="22"/>
          <w:szCs w:val="22"/>
        </w:rPr>
      </w:pPr>
      <w:proofErr w:type="spellStart"/>
      <w:r w:rsidRPr="00C817B7">
        <w:rPr>
          <w:rFonts w:asciiTheme="minorHAnsi" w:hAnsiTheme="minorHAnsi" w:cstheme="minorHAnsi"/>
          <w:sz w:val="22"/>
          <w:szCs w:val="22"/>
        </w:rPr>
        <w:t>Pyomyositis</w:t>
      </w:r>
      <w:proofErr w:type="spellEnd"/>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Abscesses of heavy proximal muscles of trunk and limb (including </w:t>
      </w:r>
      <w:proofErr w:type="spellStart"/>
      <w:r w:rsidRPr="00C817B7">
        <w:rPr>
          <w:rFonts w:asciiTheme="minorHAnsi" w:hAnsiTheme="minorHAnsi" w:cstheme="minorHAnsi"/>
          <w:sz w:val="22"/>
          <w:szCs w:val="22"/>
        </w:rPr>
        <w:t>psoas</w:t>
      </w:r>
      <w:proofErr w:type="spellEnd"/>
      <w:r w:rsidR="00A85E26">
        <w:rPr>
          <w:rFonts w:asciiTheme="minorHAnsi" w:hAnsiTheme="minorHAnsi" w:cstheme="minorHAnsi"/>
          <w:sz w:val="22"/>
          <w:szCs w:val="22"/>
        </w:rPr>
        <w:t xml:space="preserve"> &amp; pectoral muscles</w:t>
      </w:r>
      <w:r w:rsidRPr="00C817B7">
        <w:rPr>
          <w:rFonts w:asciiTheme="minorHAnsi" w:hAnsiTheme="minorHAnsi" w:cstheme="minorHAnsi"/>
          <w:sz w:val="22"/>
          <w:szCs w:val="22"/>
        </w:rPr>
        <w:t>)</w:t>
      </w:r>
    </w:p>
    <w:p w:rsidR="003E77D2" w:rsidRPr="00C817B7" w:rsidRDefault="003E77D2" w:rsidP="003E77D2">
      <w:pPr>
        <w:pStyle w:val="ListParagraph"/>
        <w:widowControl w:val="0"/>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Absence of previous infection or trauma in most cases (“metastatic Staph”).  Up to 50% will give a history of minor trauma or vigorous exercise although this may be just an attempt to find an explanation rather than causal. </w:t>
      </w:r>
    </w:p>
    <w:p w:rsidR="003E77D2" w:rsidRPr="00C817B7" w:rsidRDefault="003E77D2" w:rsidP="003E77D2">
      <w:pPr>
        <w:pStyle w:val="ListParagraph"/>
        <w:widowControl w:val="0"/>
        <w:numPr>
          <w:ilvl w:val="4"/>
          <w:numId w:val="1"/>
        </w:numPr>
        <w:spacing w:after="200" w:line="276" w:lineRule="auto"/>
        <w:ind w:left="1800"/>
        <w:rPr>
          <w:rFonts w:asciiTheme="minorHAnsi" w:hAnsiTheme="minorHAnsi" w:cstheme="minorHAnsi"/>
          <w:sz w:val="22"/>
          <w:szCs w:val="22"/>
        </w:rPr>
      </w:pPr>
      <w:proofErr w:type="spellStart"/>
      <w:r w:rsidRPr="00C817B7">
        <w:rPr>
          <w:rFonts w:asciiTheme="minorHAnsi" w:hAnsiTheme="minorHAnsi" w:cstheme="minorHAnsi"/>
          <w:sz w:val="22"/>
          <w:szCs w:val="22"/>
        </w:rPr>
        <w:t>Eosinophilia</w:t>
      </w:r>
      <w:proofErr w:type="spellEnd"/>
      <w:r w:rsidRPr="00C817B7">
        <w:rPr>
          <w:rFonts w:asciiTheme="minorHAnsi" w:hAnsiTheme="minorHAnsi" w:cstheme="minorHAnsi"/>
          <w:sz w:val="22"/>
          <w:szCs w:val="22"/>
        </w:rPr>
        <w:t xml:space="preserve"> is often present in patients with tropical </w:t>
      </w:r>
      <w:proofErr w:type="spellStart"/>
      <w:r w:rsidRPr="00C817B7">
        <w:rPr>
          <w:rFonts w:asciiTheme="minorHAnsi" w:hAnsiTheme="minorHAnsi" w:cstheme="minorHAnsi"/>
          <w:sz w:val="22"/>
          <w:szCs w:val="22"/>
        </w:rPr>
        <w:t>pyomyositis</w:t>
      </w:r>
      <w:proofErr w:type="spellEnd"/>
      <w:r w:rsidRPr="00C817B7">
        <w:rPr>
          <w:rFonts w:asciiTheme="minorHAnsi" w:hAnsiTheme="minorHAnsi" w:cstheme="minorHAnsi"/>
          <w:sz w:val="22"/>
          <w:szCs w:val="22"/>
        </w:rPr>
        <w:t xml:space="preserve"> suggesting that migrating </w:t>
      </w:r>
      <w:proofErr w:type="spellStart"/>
      <w:r w:rsidRPr="00C817B7">
        <w:rPr>
          <w:rFonts w:asciiTheme="minorHAnsi" w:hAnsiTheme="minorHAnsi" w:cstheme="minorHAnsi"/>
          <w:sz w:val="22"/>
          <w:szCs w:val="22"/>
        </w:rPr>
        <w:t>helminths</w:t>
      </w:r>
      <w:proofErr w:type="spellEnd"/>
      <w:r w:rsidRPr="00C817B7">
        <w:rPr>
          <w:rFonts w:asciiTheme="minorHAnsi" w:hAnsiTheme="minorHAnsi" w:cstheme="minorHAnsi"/>
          <w:sz w:val="22"/>
          <w:szCs w:val="22"/>
        </w:rPr>
        <w:t xml:space="preserve"> may be the source of bacterial inoculation in some cases.  Again, this may be two common conditions occurring together.</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Often multifocal – time and space. </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Tend to be disease of the native peoples (Europeans can be infected but rarely are) and children more than adults.</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Blood cultures usually negative, but 90% or more are hemolytic </w:t>
      </w:r>
      <w:proofErr w:type="spellStart"/>
      <w:r w:rsidRPr="00C817B7">
        <w:rPr>
          <w:rFonts w:asciiTheme="minorHAnsi" w:hAnsiTheme="minorHAnsi" w:cstheme="minorHAnsi"/>
          <w:sz w:val="22"/>
          <w:szCs w:val="22"/>
        </w:rPr>
        <w:t>coagulase</w:t>
      </w:r>
      <w:proofErr w:type="spellEnd"/>
      <w:r w:rsidRPr="00C817B7">
        <w:rPr>
          <w:rFonts w:asciiTheme="minorHAnsi" w:hAnsiTheme="minorHAnsi" w:cstheme="minorHAnsi"/>
          <w:sz w:val="22"/>
          <w:szCs w:val="22"/>
        </w:rPr>
        <w:t xml:space="preserve"> positive Staphylococcus (can also be </w:t>
      </w:r>
      <w:r w:rsidRPr="00C817B7">
        <w:rPr>
          <w:rFonts w:asciiTheme="minorHAnsi" w:hAnsiTheme="minorHAnsi" w:cstheme="minorHAnsi"/>
          <w:i/>
          <w:sz w:val="22"/>
          <w:szCs w:val="22"/>
        </w:rPr>
        <w:t xml:space="preserve">Staph </w:t>
      </w:r>
      <w:proofErr w:type="spellStart"/>
      <w:r w:rsidRPr="00C817B7">
        <w:rPr>
          <w:rFonts w:asciiTheme="minorHAnsi" w:hAnsiTheme="minorHAnsi" w:cstheme="minorHAnsi"/>
          <w:i/>
          <w:sz w:val="22"/>
          <w:szCs w:val="22"/>
        </w:rPr>
        <w:t>albus</w:t>
      </w:r>
      <w:proofErr w:type="spellEnd"/>
      <w:r w:rsidRPr="00C817B7">
        <w:rPr>
          <w:rFonts w:asciiTheme="minorHAnsi" w:hAnsiTheme="minorHAnsi" w:cstheme="minorHAnsi"/>
          <w:sz w:val="22"/>
          <w:szCs w:val="22"/>
        </w:rPr>
        <w:t xml:space="preserve">, Streptococcus </w:t>
      </w:r>
      <w:proofErr w:type="spellStart"/>
      <w:r w:rsidRPr="00C817B7">
        <w:rPr>
          <w:rFonts w:asciiTheme="minorHAnsi" w:hAnsiTheme="minorHAnsi" w:cstheme="minorHAnsi"/>
          <w:sz w:val="22"/>
          <w:szCs w:val="22"/>
        </w:rPr>
        <w:t>spp</w:t>
      </w:r>
      <w:proofErr w:type="spellEnd"/>
      <w:r w:rsidRPr="00C817B7">
        <w:rPr>
          <w:rFonts w:asciiTheme="minorHAnsi" w:hAnsiTheme="minorHAnsi" w:cstheme="minorHAnsi"/>
          <w:sz w:val="22"/>
          <w:szCs w:val="22"/>
        </w:rPr>
        <w:t xml:space="preserve"> and </w:t>
      </w:r>
      <w:r w:rsidRPr="00C817B7">
        <w:rPr>
          <w:rFonts w:asciiTheme="minorHAnsi" w:hAnsiTheme="minorHAnsi" w:cstheme="minorHAnsi"/>
          <w:i/>
          <w:sz w:val="22"/>
          <w:szCs w:val="22"/>
        </w:rPr>
        <w:t xml:space="preserve">E. coli; </w:t>
      </w:r>
      <w:r w:rsidRPr="00C817B7">
        <w:rPr>
          <w:rFonts w:asciiTheme="minorHAnsi" w:hAnsiTheme="minorHAnsi" w:cstheme="minorHAnsi"/>
          <w:sz w:val="22"/>
          <w:szCs w:val="22"/>
        </w:rPr>
        <w:t>rarely anaerobes)</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Most patients in the tropics lack underlying conditions (but consider undiagnosed HIV). Less common pathogens (and infections in non-tropical situations) may be associated with </w:t>
      </w:r>
      <w:proofErr w:type="spellStart"/>
      <w:r w:rsidRPr="00C817B7">
        <w:rPr>
          <w:rFonts w:asciiTheme="minorHAnsi" w:hAnsiTheme="minorHAnsi" w:cstheme="minorHAnsi"/>
          <w:sz w:val="22"/>
          <w:szCs w:val="22"/>
        </w:rPr>
        <w:t>immunosuppression</w:t>
      </w:r>
      <w:proofErr w:type="spellEnd"/>
      <w:r w:rsidRPr="00C817B7">
        <w:rPr>
          <w:rFonts w:asciiTheme="minorHAnsi" w:hAnsiTheme="minorHAnsi" w:cstheme="minorHAnsi"/>
          <w:sz w:val="22"/>
          <w:szCs w:val="22"/>
        </w:rPr>
        <w:t>, e.g.  retroviral infections, diabetes, alcoholic liver disease, steroids, sickle cell disease, rheumatoid arthritis, lymphoma and multiple myeloma.</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Clinical presentation</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The early stage of </w:t>
      </w:r>
      <w:proofErr w:type="spellStart"/>
      <w:r w:rsidRPr="00C817B7">
        <w:rPr>
          <w:rFonts w:asciiTheme="minorHAnsi" w:hAnsiTheme="minorHAnsi" w:cstheme="minorHAnsi"/>
          <w:sz w:val="22"/>
          <w:szCs w:val="22"/>
        </w:rPr>
        <w:t>pyomyositis</w:t>
      </w:r>
      <w:proofErr w:type="spellEnd"/>
      <w:r w:rsidRPr="00C817B7">
        <w:rPr>
          <w:rFonts w:asciiTheme="minorHAnsi" w:hAnsiTheme="minorHAnsi" w:cstheme="minorHAnsi"/>
          <w:sz w:val="22"/>
          <w:szCs w:val="22"/>
        </w:rPr>
        <w:t xml:space="preserve"> is characterized by </w:t>
      </w:r>
      <w:proofErr w:type="spellStart"/>
      <w:r w:rsidRPr="00C817B7">
        <w:rPr>
          <w:rFonts w:asciiTheme="minorHAnsi" w:hAnsiTheme="minorHAnsi" w:cstheme="minorHAnsi"/>
          <w:sz w:val="22"/>
          <w:szCs w:val="22"/>
        </w:rPr>
        <w:t>subacute</w:t>
      </w:r>
      <w:proofErr w:type="spellEnd"/>
      <w:r w:rsidRPr="00C817B7">
        <w:rPr>
          <w:rFonts w:asciiTheme="minorHAnsi" w:hAnsiTheme="minorHAnsi" w:cstheme="minorHAnsi"/>
          <w:sz w:val="22"/>
          <w:szCs w:val="22"/>
        </w:rPr>
        <w:t xml:space="preserve"> onset of fever, with local swelling of the involved area but no erythema and only mild pain and tenderness.  </w:t>
      </w:r>
      <w:r w:rsidRPr="00C817B7">
        <w:rPr>
          <w:rFonts w:asciiTheme="minorHAnsi" w:hAnsiTheme="minorHAnsi" w:cstheme="minorHAnsi"/>
          <w:sz w:val="22"/>
          <w:szCs w:val="22"/>
        </w:rPr>
        <w:lastRenderedPageBreak/>
        <w:t xml:space="preserve">At this stage, the muscle feels woody or </w:t>
      </w:r>
      <w:proofErr w:type="spellStart"/>
      <w:r w:rsidRPr="00C817B7">
        <w:rPr>
          <w:rFonts w:asciiTheme="minorHAnsi" w:hAnsiTheme="minorHAnsi" w:cstheme="minorHAnsi"/>
          <w:sz w:val="22"/>
          <w:szCs w:val="22"/>
        </w:rPr>
        <w:t>indurated</w:t>
      </w:r>
      <w:proofErr w:type="spellEnd"/>
      <w:r w:rsidRPr="00C817B7">
        <w:rPr>
          <w:rFonts w:asciiTheme="minorHAnsi" w:hAnsiTheme="minorHAnsi" w:cstheme="minorHAnsi"/>
          <w:sz w:val="22"/>
          <w:szCs w:val="22"/>
        </w:rPr>
        <w:t xml:space="preserve"> rather than fluctuant, and aspiration does not yield pus.  The early stage typically lasts 10-12 days.</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As infection progresses, localized muscle swelling and pain become more prominent and the overlying skin develops characteristic signs of inflammation.  (With very deep muscle infections, skin changes may remain minimal or appear only late).  Aspiration at this stage will yield pus.  This stage demonstrates marked pyrexia and pain.</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If the infection is not treated promptly, it can progress to systemic sepsis and metastatic infection in other muscles and tissues.  Some patients will present with abrupt onset of high fever and/or signs of toxic shock syndrome.</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Surgical intervention</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Early diagnosis (ultrasound, aspiration).  High index of suspicion.  </w:t>
      </w:r>
      <w:proofErr w:type="spellStart"/>
      <w:r w:rsidRPr="00C817B7">
        <w:rPr>
          <w:rFonts w:asciiTheme="minorHAnsi" w:hAnsiTheme="minorHAnsi" w:cstheme="minorHAnsi"/>
          <w:sz w:val="22"/>
          <w:szCs w:val="22"/>
        </w:rPr>
        <w:t>Psoas</w:t>
      </w:r>
      <w:proofErr w:type="spellEnd"/>
      <w:r w:rsidRPr="00C817B7">
        <w:rPr>
          <w:rFonts w:asciiTheme="minorHAnsi" w:hAnsiTheme="minorHAnsi" w:cstheme="minorHAnsi"/>
          <w:sz w:val="22"/>
          <w:szCs w:val="22"/>
        </w:rPr>
        <w:t xml:space="preserve"> abscesses can be confused with appendicitis, septic arthritis of the hip, etc. </w:t>
      </w:r>
    </w:p>
    <w:p w:rsidR="003E77D2" w:rsidRPr="00C817B7" w:rsidRDefault="003E77D2" w:rsidP="003E77D2">
      <w:pPr>
        <w:pStyle w:val="ListParagraph"/>
        <w:widowControl w:val="0"/>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Early antibiotics with empiric coverage of Staph </w:t>
      </w:r>
      <w:proofErr w:type="gramStart"/>
      <w:r w:rsidRPr="00C817B7">
        <w:rPr>
          <w:rFonts w:asciiTheme="minorHAnsi" w:hAnsiTheme="minorHAnsi" w:cstheme="minorHAnsi"/>
          <w:sz w:val="22"/>
          <w:szCs w:val="22"/>
        </w:rPr>
        <w:t>aureus  (</w:t>
      </w:r>
      <w:proofErr w:type="spellStart"/>
      <w:proofErr w:type="gramEnd"/>
      <w:r w:rsidRPr="00C817B7">
        <w:rPr>
          <w:rFonts w:asciiTheme="minorHAnsi" w:hAnsiTheme="minorHAnsi" w:cstheme="minorHAnsi"/>
          <w:sz w:val="22"/>
          <w:szCs w:val="22"/>
        </w:rPr>
        <w:t>cloxacillin</w:t>
      </w:r>
      <w:proofErr w:type="spellEnd"/>
      <w:r w:rsidRPr="00C817B7">
        <w:rPr>
          <w:rFonts w:asciiTheme="minorHAnsi" w:hAnsiTheme="minorHAnsi" w:cstheme="minorHAnsi"/>
          <w:sz w:val="22"/>
          <w:szCs w:val="22"/>
        </w:rPr>
        <w:t xml:space="preserve">, </w:t>
      </w:r>
      <w:proofErr w:type="spellStart"/>
      <w:r w:rsidRPr="00C817B7">
        <w:rPr>
          <w:rFonts w:asciiTheme="minorHAnsi" w:hAnsiTheme="minorHAnsi" w:cstheme="minorHAnsi"/>
          <w:sz w:val="22"/>
          <w:szCs w:val="22"/>
        </w:rPr>
        <w:t>cefazolin</w:t>
      </w:r>
      <w:proofErr w:type="spellEnd"/>
      <w:r w:rsidRPr="00C817B7">
        <w:rPr>
          <w:rFonts w:asciiTheme="minorHAnsi" w:hAnsiTheme="minorHAnsi" w:cstheme="minorHAnsi"/>
          <w:sz w:val="22"/>
          <w:szCs w:val="22"/>
        </w:rPr>
        <w:t xml:space="preserve">, </w:t>
      </w:r>
      <w:proofErr w:type="spellStart"/>
      <w:r w:rsidRPr="00C817B7">
        <w:rPr>
          <w:rFonts w:asciiTheme="minorHAnsi" w:hAnsiTheme="minorHAnsi" w:cstheme="minorHAnsi"/>
          <w:sz w:val="22"/>
          <w:szCs w:val="22"/>
        </w:rPr>
        <w:t>cephalexin</w:t>
      </w:r>
      <w:proofErr w:type="spellEnd"/>
      <w:r w:rsidRPr="00C817B7">
        <w:rPr>
          <w:rFonts w:asciiTheme="minorHAnsi" w:hAnsiTheme="minorHAnsi" w:cstheme="minorHAnsi"/>
          <w:sz w:val="22"/>
          <w:szCs w:val="22"/>
        </w:rPr>
        <w:t xml:space="preserve">, </w:t>
      </w:r>
      <w:proofErr w:type="spellStart"/>
      <w:r w:rsidRPr="00C817B7">
        <w:rPr>
          <w:rFonts w:asciiTheme="minorHAnsi" w:hAnsiTheme="minorHAnsi" w:cstheme="minorHAnsi"/>
          <w:sz w:val="22"/>
          <w:szCs w:val="22"/>
        </w:rPr>
        <w:t>clindamycin</w:t>
      </w:r>
      <w:proofErr w:type="spellEnd"/>
      <w:r w:rsidRPr="00C817B7">
        <w:rPr>
          <w:rFonts w:asciiTheme="minorHAnsi" w:hAnsiTheme="minorHAnsi" w:cstheme="minorHAnsi"/>
          <w:sz w:val="22"/>
          <w:szCs w:val="22"/>
        </w:rPr>
        <w:t xml:space="preserve">) as soon as diagnosis suspected.  Gram stain and culture results should modify antibiotic therapy appropriately.  </w:t>
      </w:r>
      <w:proofErr w:type="spellStart"/>
      <w:r w:rsidRPr="00C817B7">
        <w:rPr>
          <w:rFonts w:asciiTheme="minorHAnsi" w:hAnsiTheme="minorHAnsi" w:cstheme="minorHAnsi"/>
          <w:sz w:val="22"/>
          <w:szCs w:val="22"/>
        </w:rPr>
        <w:t>Parenteral</w:t>
      </w:r>
      <w:proofErr w:type="spellEnd"/>
      <w:r w:rsidRPr="00C817B7">
        <w:rPr>
          <w:rFonts w:asciiTheme="minorHAnsi" w:hAnsiTheme="minorHAnsi" w:cstheme="minorHAnsi"/>
          <w:sz w:val="22"/>
          <w:szCs w:val="22"/>
        </w:rPr>
        <w:t xml:space="preserve"> antibiotics until systemic signs of infection resolve.</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I &amp; D under anesthesia.  Break </w:t>
      </w:r>
      <w:proofErr w:type="spellStart"/>
      <w:r w:rsidRPr="00C817B7">
        <w:rPr>
          <w:rFonts w:asciiTheme="minorHAnsi" w:hAnsiTheme="minorHAnsi" w:cstheme="minorHAnsi"/>
          <w:sz w:val="22"/>
          <w:szCs w:val="22"/>
        </w:rPr>
        <w:t>loculations</w:t>
      </w:r>
      <w:proofErr w:type="spellEnd"/>
      <w:r w:rsidRPr="00C817B7">
        <w:rPr>
          <w:rFonts w:asciiTheme="minorHAnsi" w:hAnsiTheme="minorHAnsi" w:cstheme="minorHAnsi"/>
          <w:sz w:val="22"/>
          <w:szCs w:val="22"/>
        </w:rPr>
        <w:t xml:space="preserve"> with finger.  Feel for rough bone (osteomyelitis).  Do not curette.  If bleeding occurs, pack with gauze and remove in 24 – 48 hours.  Place Multiple Penrose drains through incisions at the end of cavities (ends tied together) better than filleting it open.  Irrigate along Penrose drains in post-operative period.</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Splint to avoid contractures if likely.</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Always consider possibility of compartment syndrome which will require a more extensive surgical unroofing. </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Multifocal disease is common and may follow within a day or two (or later).   Fever which doesn’t resolve suggests inadequate drainage of same or other abscess </w:t>
      </w:r>
      <w:proofErr w:type="gramStart"/>
      <w:r w:rsidRPr="00C817B7">
        <w:rPr>
          <w:rFonts w:asciiTheme="minorHAnsi" w:hAnsiTheme="minorHAnsi" w:cstheme="minorHAnsi"/>
          <w:sz w:val="22"/>
          <w:szCs w:val="22"/>
        </w:rPr>
        <w:t>( synchronous</w:t>
      </w:r>
      <w:proofErr w:type="gramEnd"/>
      <w:r w:rsidRPr="00C817B7">
        <w:rPr>
          <w:rFonts w:asciiTheme="minorHAnsi" w:hAnsiTheme="minorHAnsi" w:cstheme="minorHAnsi"/>
          <w:sz w:val="22"/>
          <w:szCs w:val="22"/>
        </w:rPr>
        <w:t xml:space="preserve"> primary or metastatic </w:t>
      </w:r>
      <w:proofErr w:type="spellStart"/>
      <w:r w:rsidRPr="00C817B7">
        <w:rPr>
          <w:rFonts w:asciiTheme="minorHAnsi" w:hAnsiTheme="minorHAnsi" w:cstheme="minorHAnsi"/>
          <w:sz w:val="22"/>
          <w:szCs w:val="22"/>
        </w:rPr>
        <w:t>pyomyositis</w:t>
      </w:r>
      <w:proofErr w:type="spellEnd"/>
      <w:r w:rsidRPr="00C817B7">
        <w:rPr>
          <w:rFonts w:asciiTheme="minorHAnsi" w:hAnsiTheme="minorHAnsi" w:cstheme="minorHAnsi"/>
          <w:sz w:val="22"/>
          <w:szCs w:val="22"/>
        </w:rPr>
        <w:t xml:space="preserve"> or other organs – bone, heart, brain, etc.)</w:t>
      </w:r>
    </w:p>
    <w:p w:rsidR="003E77D2" w:rsidRPr="00C817B7" w:rsidRDefault="003E77D2" w:rsidP="003E77D2">
      <w:pPr>
        <w:pStyle w:val="ListParagraph"/>
        <w:numPr>
          <w:ilvl w:val="2"/>
          <w:numId w:val="1"/>
        </w:numPr>
        <w:spacing w:after="200" w:line="276" w:lineRule="auto"/>
        <w:ind w:left="360"/>
        <w:rPr>
          <w:rFonts w:asciiTheme="minorHAnsi" w:hAnsiTheme="minorHAnsi" w:cstheme="minorHAnsi"/>
          <w:sz w:val="22"/>
          <w:szCs w:val="22"/>
        </w:rPr>
      </w:pPr>
      <w:r w:rsidRPr="00C817B7">
        <w:rPr>
          <w:rFonts w:asciiTheme="minorHAnsi" w:hAnsiTheme="minorHAnsi" w:cstheme="minorHAnsi"/>
          <w:sz w:val="22"/>
          <w:szCs w:val="22"/>
        </w:rPr>
        <w:t>Septic Arthritis</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Hematogenous septic arthritis involves knee, hip, shoulder and ankle in that order.</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Septic arthritis can occur from adjacent </w:t>
      </w:r>
      <w:proofErr w:type="spellStart"/>
      <w:r w:rsidRPr="00C817B7">
        <w:rPr>
          <w:rFonts w:asciiTheme="minorHAnsi" w:hAnsiTheme="minorHAnsi" w:cstheme="minorHAnsi"/>
          <w:sz w:val="22"/>
          <w:szCs w:val="22"/>
        </w:rPr>
        <w:t>metaphyseal</w:t>
      </w:r>
      <w:proofErr w:type="spellEnd"/>
      <w:r w:rsidRPr="00C817B7">
        <w:rPr>
          <w:rFonts w:asciiTheme="minorHAnsi" w:hAnsiTheme="minorHAnsi" w:cstheme="minorHAnsi"/>
          <w:sz w:val="22"/>
          <w:szCs w:val="22"/>
        </w:rPr>
        <w:t xml:space="preserve"> osteomyelitis (up to six months of age for all joints except the hip where it can be later), and penetrating injury</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Pain with movement (refusal to move) is the first sign.  Multiple joints may be involved.   High fever can occur, but only half of the patients have leukocytosis or fever. The knee and ankle may have palpable warmth and swelling; the hip and shoulder is not likely to until very late.   The elderly may not have any symptoms – all joint effusions should be aspirated!  In spine, SI joint and hips, pain may be only symptom. </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i/>
          <w:sz w:val="22"/>
          <w:szCs w:val="22"/>
        </w:rPr>
        <w:t>S. aureus</w:t>
      </w:r>
      <w:r w:rsidRPr="00C817B7">
        <w:rPr>
          <w:rFonts w:asciiTheme="minorHAnsi" w:hAnsiTheme="minorHAnsi" w:cstheme="minorHAnsi"/>
          <w:sz w:val="22"/>
          <w:szCs w:val="22"/>
        </w:rPr>
        <w:t xml:space="preserve"> is most common, but </w:t>
      </w:r>
      <w:r w:rsidRPr="00C817B7">
        <w:rPr>
          <w:rFonts w:asciiTheme="minorHAnsi" w:hAnsiTheme="minorHAnsi" w:cstheme="minorHAnsi"/>
          <w:i/>
          <w:sz w:val="22"/>
          <w:szCs w:val="22"/>
        </w:rPr>
        <w:t xml:space="preserve">H. </w:t>
      </w:r>
      <w:proofErr w:type="spellStart"/>
      <w:r w:rsidRPr="00C817B7">
        <w:rPr>
          <w:rFonts w:asciiTheme="minorHAnsi" w:hAnsiTheme="minorHAnsi" w:cstheme="minorHAnsi"/>
          <w:i/>
          <w:sz w:val="22"/>
          <w:szCs w:val="22"/>
        </w:rPr>
        <w:t>influenzae</w:t>
      </w:r>
      <w:proofErr w:type="spellEnd"/>
      <w:r w:rsidRPr="00C817B7">
        <w:rPr>
          <w:rFonts w:asciiTheme="minorHAnsi" w:hAnsiTheme="minorHAnsi" w:cstheme="minorHAnsi"/>
          <w:sz w:val="22"/>
          <w:szCs w:val="22"/>
        </w:rPr>
        <w:t xml:space="preserve"> is most frequent in newborns, sickle patients may have </w:t>
      </w:r>
      <w:r w:rsidRPr="00C817B7">
        <w:rPr>
          <w:rFonts w:asciiTheme="minorHAnsi" w:hAnsiTheme="minorHAnsi" w:cstheme="minorHAnsi"/>
          <w:i/>
          <w:sz w:val="22"/>
          <w:szCs w:val="22"/>
        </w:rPr>
        <w:t>E. coli</w:t>
      </w:r>
      <w:r w:rsidRPr="00C817B7">
        <w:rPr>
          <w:rFonts w:asciiTheme="minorHAnsi" w:hAnsiTheme="minorHAnsi" w:cstheme="minorHAnsi"/>
          <w:sz w:val="22"/>
          <w:szCs w:val="22"/>
        </w:rPr>
        <w:t xml:space="preserve"> or salmonella.    Streptococci, </w:t>
      </w:r>
      <w:proofErr w:type="spellStart"/>
      <w:r w:rsidRPr="00C817B7">
        <w:rPr>
          <w:rFonts w:asciiTheme="minorHAnsi" w:hAnsiTheme="minorHAnsi" w:cstheme="minorHAnsi"/>
          <w:sz w:val="22"/>
          <w:szCs w:val="22"/>
        </w:rPr>
        <w:t>brucellae</w:t>
      </w:r>
      <w:proofErr w:type="spellEnd"/>
      <w:r w:rsidRPr="00C817B7">
        <w:rPr>
          <w:rFonts w:asciiTheme="minorHAnsi" w:hAnsiTheme="minorHAnsi" w:cstheme="minorHAnsi"/>
          <w:sz w:val="22"/>
          <w:szCs w:val="22"/>
        </w:rPr>
        <w:t xml:space="preserve"> and gonococci can also occur (usually in the sexually active).</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i/>
          <w:sz w:val="22"/>
          <w:szCs w:val="22"/>
        </w:rPr>
        <w:lastRenderedPageBreak/>
        <w:t>ASPIRATE</w:t>
      </w:r>
      <w:r w:rsidRPr="00C817B7">
        <w:rPr>
          <w:rFonts w:asciiTheme="minorHAnsi" w:hAnsiTheme="minorHAnsi" w:cstheme="minorHAnsi"/>
          <w:sz w:val="22"/>
          <w:szCs w:val="22"/>
        </w:rPr>
        <w:t xml:space="preserve"> as soon as the diagnosis is suspected.  If positive (gram stain, cloudy synovial fluid or frank pus), take to OR, open joint, irrigate copiously, feel surfaces of the joint and place drain (can leave the knee open in some cases).   Since shoulder and hip may be difficult to aspirate, high index of suspicion requires opening the joint in the OR. </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Splint in position of function and then begin active ROM by day 10.</w:t>
      </w:r>
    </w:p>
    <w:p w:rsidR="003E77D2" w:rsidRDefault="003E77D2" w:rsidP="003E77D2">
      <w:pPr>
        <w:pStyle w:val="ListParagraph"/>
        <w:numPr>
          <w:ilvl w:val="2"/>
          <w:numId w:val="1"/>
        </w:numPr>
        <w:spacing w:after="200" w:line="276" w:lineRule="auto"/>
        <w:ind w:left="360"/>
        <w:rPr>
          <w:rFonts w:asciiTheme="minorHAnsi" w:hAnsiTheme="minorHAnsi" w:cstheme="minorHAnsi"/>
          <w:sz w:val="22"/>
          <w:szCs w:val="22"/>
        </w:rPr>
      </w:pPr>
      <w:r w:rsidRPr="00C817B7">
        <w:rPr>
          <w:rFonts w:asciiTheme="minorHAnsi" w:hAnsiTheme="minorHAnsi" w:cstheme="minorHAnsi"/>
          <w:sz w:val="22"/>
          <w:szCs w:val="22"/>
        </w:rPr>
        <w:t>Acute osteomyelitis</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Early diagnosis and aggressive treatment necessary to avoid chronic osteomyelitis (chronic osteomyelitis is rarely cured in the Developing World)</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Presentation:  Pain in the affected bone (most commonly, tibia, femur or humerus).  Often history of recent trauma.  Pain severe with high fever and exam tends to be unremarkable except tenderness to gentle percussion.  </w:t>
      </w:r>
      <w:r w:rsidR="006249D5">
        <w:rPr>
          <w:rFonts w:asciiTheme="minorHAnsi" w:hAnsiTheme="minorHAnsi" w:cstheme="minorHAnsi"/>
          <w:sz w:val="22"/>
          <w:szCs w:val="22"/>
        </w:rPr>
        <w:t xml:space="preserve">Usually begins in the </w:t>
      </w:r>
      <w:proofErr w:type="spellStart"/>
      <w:r w:rsidR="006249D5">
        <w:rPr>
          <w:rFonts w:asciiTheme="minorHAnsi" w:hAnsiTheme="minorHAnsi" w:cstheme="minorHAnsi"/>
          <w:sz w:val="22"/>
          <w:szCs w:val="22"/>
        </w:rPr>
        <w:t>metaphyses</w:t>
      </w:r>
      <w:proofErr w:type="spellEnd"/>
      <w:r w:rsidRPr="00C817B7">
        <w:rPr>
          <w:rFonts w:asciiTheme="minorHAnsi" w:hAnsiTheme="minorHAnsi" w:cstheme="minorHAnsi"/>
          <w:sz w:val="22"/>
          <w:szCs w:val="22"/>
        </w:rPr>
        <w:t xml:space="preserve"> of long bones in children, especially, tibia, femur and humerus. </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Diagnosis is clinical.  Ultrasound may show </w:t>
      </w:r>
      <w:proofErr w:type="spellStart"/>
      <w:r w:rsidRPr="00C817B7">
        <w:rPr>
          <w:rFonts w:asciiTheme="minorHAnsi" w:hAnsiTheme="minorHAnsi" w:cstheme="minorHAnsi"/>
          <w:sz w:val="22"/>
          <w:szCs w:val="22"/>
        </w:rPr>
        <w:t>periosteal</w:t>
      </w:r>
      <w:proofErr w:type="spellEnd"/>
      <w:r w:rsidRPr="00C817B7">
        <w:rPr>
          <w:rFonts w:asciiTheme="minorHAnsi" w:hAnsiTheme="minorHAnsi" w:cstheme="minorHAnsi"/>
          <w:sz w:val="22"/>
          <w:szCs w:val="22"/>
        </w:rPr>
        <w:t xml:space="preserve"> edema.  X-rays are negative.</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Anti-staphylococcal antibiotics with splinting and elevation of the limb.   Immediate decompression of the affected bone by drilling (and </w:t>
      </w:r>
      <w:proofErr w:type="spellStart"/>
      <w:r w:rsidRPr="00C817B7">
        <w:rPr>
          <w:rFonts w:asciiTheme="minorHAnsi" w:hAnsiTheme="minorHAnsi" w:cstheme="minorHAnsi"/>
          <w:sz w:val="22"/>
          <w:szCs w:val="22"/>
        </w:rPr>
        <w:t>osteostomy</w:t>
      </w:r>
      <w:proofErr w:type="spellEnd"/>
      <w:r w:rsidRPr="00C817B7">
        <w:rPr>
          <w:rFonts w:asciiTheme="minorHAnsi" w:hAnsiTheme="minorHAnsi" w:cstheme="minorHAnsi"/>
          <w:sz w:val="22"/>
          <w:szCs w:val="22"/>
        </w:rPr>
        <w:t xml:space="preserve"> if pus is found) should be undertaken.</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Bone is nourished by the </w:t>
      </w:r>
      <w:proofErr w:type="spellStart"/>
      <w:r w:rsidRPr="00C817B7">
        <w:rPr>
          <w:rFonts w:asciiTheme="minorHAnsi" w:hAnsiTheme="minorHAnsi" w:cstheme="minorHAnsi"/>
          <w:sz w:val="22"/>
          <w:szCs w:val="22"/>
        </w:rPr>
        <w:t>periosteum</w:t>
      </w:r>
      <w:proofErr w:type="spellEnd"/>
      <w:r w:rsidRPr="00C817B7">
        <w:rPr>
          <w:rFonts w:asciiTheme="minorHAnsi" w:hAnsiTheme="minorHAnsi" w:cstheme="minorHAnsi"/>
          <w:sz w:val="22"/>
          <w:szCs w:val="22"/>
        </w:rPr>
        <w:t xml:space="preserve"> and </w:t>
      </w:r>
      <w:proofErr w:type="spellStart"/>
      <w:r w:rsidRPr="00C817B7">
        <w:rPr>
          <w:rFonts w:asciiTheme="minorHAnsi" w:hAnsiTheme="minorHAnsi" w:cstheme="minorHAnsi"/>
          <w:sz w:val="22"/>
          <w:szCs w:val="22"/>
        </w:rPr>
        <w:t>endosteum</w:t>
      </w:r>
      <w:proofErr w:type="spellEnd"/>
      <w:r w:rsidRPr="00C817B7">
        <w:rPr>
          <w:rFonts w:asciiTheme="minorHAnsi" w:hAnsiTheme="minorHAnsi" w:cstheme="minorHAnsi"/>
          <w:sz w:val="22"/>
          <w:szCs w:val="22"/>
        </w:rPr>
        <w:t xml:space="preserve">.  If pus develops on both sides, the bone dies (becomes chronic </w:t>
      </w:r>
      <w:proofErr w:type="spellStart"/>
      <w:r w:rsidRPr="00C817B7">
        <w:rPr>
          <w:rFonts w:asciiTheme="minorHAnsi" w:hAnsiTheme="minorHAnsi" w:cstheme="minorHAnsi"/>
          <w:sz w:val="22"/>
          <w:szCs w:val="22"/>
        </w:rPr>
        <w:t>osteo</w:t>
      </w:r>
      <w:proofErr w:type="spellEnd"/>
      <w:r w:rsidRPr="00C817B7">
        <w:rPr>
          <w:rFonts w:asciiTheme="minorHAnsi" w:hAnsiTheme="minorHAnsi" w:cstheme="minorHAnsi"/>
          <w:sz w:val="22"/>
          <w:szCs w:val="22"/>
        </w:rPr>
        <w:t>).</w:t>
      </w:r>
      <w:r w:rsidRPr="004E4BCC">
        <w:rPr>
          <w:rFonts w:ascii="Arial" w:hAnsi="Arial" w:cs="Arial"/>
          <w:noProof/>
          <w:sz w:val="20"/>
          <w:szCs w:val="20"/>
        </w:rPr>
        <w:t xml:space="preserve"> </w:t>
      </w:r>
      <w:r>
        <w:rPr>
          <w:rFonts w:ascii="Arial" w:hAnsi="Arial" w:cs="Arial"/>
          <w:noProof/>
          <w:sz w:val="20"/>
          <w:szCs w:val="20"/>
        </w:rPr>
        <w:drawing>
          <wp:inline distT="0" distB="0" distL="0" distR="0">
            <wp:extent cx="3813175" cy="2986405"/>
            <wp:effectExtent l="19050" t="0" r="0" b="0"/>
            <wp:docPr id="2" name="il_fi" descr="http://www.ouhsc.edu/histology/Glass%20slides/69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ouhsc.edu/histology/Glass%20slides/69_07.jpg"/>
                    <pic:cNvPicPr>
                      <a:picLocks noChangeAspect="1" noChangeArrowheads="1"/>
                    </pic:cNvPicPr>
                  </pic:nvPicPr>
                  <pic:blipFill>
                    <a:blip r:embed="rId8" cstate="print"/>
                    <a:srcRect/>
                    <a:stretch>
                      <a:fillRect/>
                    </a:stretch>
                  </pic:blipFill>
                  <pic:spPr bwMode="auto">
                    <a:xfrm>
                      <a:off x="0" y="0"/>
                      <a:ext cx="3813175" cy="2986405"/>
                    </a:xfrm>
                    <a:prstGeom prst="rect">
                      <a:avLst/>
                    </a:prstGeom>
                    <a:noFill/>
                    <a:ln w="9525">
                      <a:noFill/>
                      <a:miter lim="800000"/>
                      <a:headEnd/>
                      <a:tailEnd/>
                    </a:ln>
                  </pic:spPr>
                </pic:pic>
              </a:graphicData>
            </a:graphic>
          </wp:inline>
        </w:drawing>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External drainage (with as minimal disruption f the remaining </w:t>
      </w:r>
      <w:proofErr w:type="spellStart"/>
      <w:r w:rsidRPr="00C817B7">
        <w:rPr>
          <w:rFonts w:asciiTheme="minorHAnsi" w:hAnsiTheme="minorHAnsi" w:cstheme="minorHAnsi"/>
          <w:sz w:val="22"/>
          <w:szCs w:val="22"/>
        </w:rPr>
        <w:t>periosteum</w:t>
      </w:r>
      <w:proofErr w:type="spellEnd"/>
      <w:r w:rsidRPr="00C817B7">
        <w:rPr>
          <w:rFonts w:asciiTheme="minorHAnsi" w:hAnsiTheme="minorHAnsi" w:cstheme="minorHAnsi"/>
          <w:sz w:val="22"/>
          <w:szCs w:val="22"/>
        </w:rPr>
        <w:t xml:space="preserve"> as possible) and internal drainage (by drilling and/or </w:t>
      </w:r>
      <w:proofErr w:type="spellStart"/>
      <w:r w:rsidRPr="00C817B7">
        <w:rPr>
          <w:rFonts w:asciiTheme="minorHAnsi" w:hAnsiTheme="minorHAnsi" w:cstheme="minorHAnsi"/>
          <w:sz w:val="22"/>
          <w:szCs w:val="22"/>
        </w:rPr>
        <w:t>osteostomy</w:t>
      </w:r>
      <w:proofErr w:type="spellEnd"/>
      <w:r w:rsidRPr="00C817B7">
        <w:rPr>
          <w:rFonts w:asciiTheme="minorHAnsi" w:hAnsiTheme="minorHAnsi" w:cstheme="minorHAnsi"/>
          <w:sz w:val="22"/>
          <w:szCs w:val="22"/>
        </w:rPr>
        <w:t>)</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When fever subsides, switch to oral antibiotics (x-rays</w:t>
      </w:r>
      <w:r>
        <w:rPr>
          <w:rFonts w:asciiTheme="minorHAnsi" w:hAnsiTheme="minorHAnsi" w:cstheme="minorHAnsi"/>
          <w:sz w:val="22"/>
          <w:szCs w:val="22"/>
        </w:rPr>
        <w:t xml:space="preserve"> will</w:t>
      </w:r>
      <w:r w:rsidRPr="00C817B7">
        <w:rPr>
          <w:rFonts w:asciiTheme="minorHAnsi" w:hAnsiTheme="minorHAnsi" w:cstheme="minorHAnsi"/>
          <w:sz w:val="22"/>
          <w:szCs w:val="22"/>
        </w:rPr>
        <w:t xml:space="preserve"> be positive by this point).   Continue</w:t>
      </w:r>
      <w:r>
        <w:rPr>
          <w:rFonts w:asciiTheme="minorHAnsi" w:hAnsiTheme="minorHAnsi" w:cstheme="minorHAnsi"/>
          <w:sz w:val="22"/>
          <w:szCs w:val="22"/>
        </w:rPr>
        <w:t xml:space="preserve"> oral</w:t>
      </w:r>
      <w:r w:rsidRPr="00C817B7">
        <w:rPr>
          <w:rFonts w:asciiTheme="minorHAnsi" w:hAnsiTheme="minorHAnsi" w:cstheme="minorHAnsi"/>
          <w:sz w:val="22"/>
          <w:szCs w:val="22"/>
        </w:rPr>
        <w:t xml:space="preserve"> antibiotics until fever, pain, swelling have resolved</w:t>
      </w:r>
      <w:r>
        <w:rPr>
          <w:rFonts w:asciiTheme="minorHAnsi" w:hAnsiTheme="minorHAnsi" w:cstheme="minorHAnsi"/>
          <w:sz w:val="22"/>
          <w:szCs w:val="22"/>
        </w:rPr>
        <w:t xml:space="preserve"> and ESR has returned to normal (six weeks of antibiotics is a common length)</w:t>
      </w:r>
    </w:p>
    <w:p w:rsidR="003E77D2" w:rsidRPr="00C817B7" w:rsidRDefault="003E77D2" w:rsidP="003E77D2">
      <w:pPr>
        <w:pStyle w:val="ListParagraph"/>
        <w:numPr>
          <w:ilvl w:val="2"/>
          <w:numId w:val="1"/>
        </w:numPr>
        <w:spacing w:after="200" w:line="276" w:lineRule="auto"/>
        <w:ind w:left="360"/>
        <w:rPr>
          <w:rFonts w:asciiTheme="minorHAnsi" w:hAnsiTheme="minorHAnsi" w:cstheme="minorHAnsi"/>
          <w:sz w:val="22"/>
          <w:szCs w:val="22"/>
        </w:rPr>
      </w:pPr>
      <w:r w:rsidRPr="00C817B7">
        <w:rPr>
          <w:rFonts w:asciiTheme="minorHAnsi" w:hAnsiTheme="minorHAnsi" w:cstheme="minorHAnsi"/>
          <w:sz w:val="22"/>
          <w:szCs w:val="22"/>
        </w:rPr>
        <w:t>Chronic osteomyelitis</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Definitions:</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proofErr w:type="spellStart"/>
      <w:r w:rsidRPr="00C817B7">
        <w:rPr>
          <w:rFonts w:asciiTheme="minorHAnsi" w:hAnsiTheme="minorHAnsi" w:cstheme="minorHAnsi"/>
          <w:sz w:val="22"/>
          <w:szCs w:val="22"/>
        </w:rPr>
        <w:lastRenderedPageBreak/>
        <w:t>Sequestrum</w:t>
      </w:r>
      <w:proofErr w:type="spellEnd"/>
      <w:r>
        <w:rPr>
          <w:rFonts w:asciiTheme="minorHAnsi" w:hAnsiTheme="minorHAnsi" w:cstheme="minorHAnsi"/>
          <w:sz w:val="22"/>
          <w:szCs w:val="22"/>
        </w:rPr>
        <w:t xml:space="preserve"> - </w:t>
      </w:r>
      <w:r w:rsidRPr="000521F5">
        <w:rPr>
          <w:rFonts w:asciiTheme="minorHAnsi" w:hAnsiTheme="minorHAnsi" w:cstheme="minorHAnsi"/>
          <w:sz w:val="22"/>
          <w:szCs w:val="22"/>
        </w:rPr>
        <w:t xml:space="preserve">A </w:t>
      </w:r>
      <w:proofErr w:type="spellStart"/>
      <w:r w:rsidRPr="000521F5">
        <w:rPr>
          <w:rFonts w:asciiTheme="minorHAnsi" w:hAnsiTheme="minorHAnsi" w:cstheme="minorHAnsi"/>
          <w:sz w:val="22"/>
          <w:szCs w:val="22"/>
        </w:rPr>
        <w:t>sequestrum</w:t>
      </w:r>
      <w:proofErr w:type="spellEnd"/>
      <w:r w:rsidRPr="000521F5">
        <w:rPr>
          <w:rFonts w:asciiTheme="minorHAnsi" w:hAnsiTheme="minorHAnsi" w:cstheme="minorHAnsi"/>
          <w:sz w:val="22"/>
          <w:szCs w:val="22"/>
        </w:rPr>
        <w:t xml:space="preserve"> is a piece of dead </w:t>
      </w:r>
      <w:hyperlink r:id="rId9" w:tooltip="Bone" w:history="1">
        <w:r w:rsidRPr="000521F5">
          <w:rPr>
            <w:rFonts w:asciiTheme="minorHAnsi" w:hAnsiTheme="minorHAnsi" w:cstheme="minorHAnsi"/>
            <w:sz w:val="22"/>
            <w:szCs w:val="22"/>
          </w:rPr>
          <w:t>bone</w:t>
        </w:r>
      </w:hyperlink>
      <w:r w:rsidRPr="000521F5">
        <w:rPr>
          <w:rFonts w:asciiTheme="minorHAnsi" w:hAnsiTheme="minorHAnsi" w:cstheme="minorHAnsi"/>
          <w:sz w:val="22"/>
          <w:szCs w:val="22"/>
        </w:rPr>
        <w:t xml:space="preserve"> that has become separated during the process of </w:t>
      </w:r>
      <w:hyperlink r:id="rId10" w:tooltip="Necrosis" w:history="1">
        <w:r w:rsidRPr="000521F5">
          <w:rPr>
            <w:rFonts w:asciiTheme="minorHAnsi" w:hAnsiTheme="minorHAnsi" w:cstheme="minorHAnsi"/>
            <w:sz w:val="22"/>
            <w:szCs w:val="22"/>
          </w:rPr>
          <w:t>necrosis</w:t>
        </w:r>
      </w:hyperlink>
      <w:r w:rsidRPr="000521F5">
        <w:rPr>
          <w:rFonts w:asciiTheme="minorHAnsi" w:hAnsiTheme="minorHAnsi" w:cstheme="minorHAnsi"/>
          <w:sz w:val="22"/>
          <w:szCs w:val="22"/>
        </w:rPr>
        <w:t xml:space="preserve"> from normal/sound bone.</w:t>
      </w:r>
    </w:p>
    <w:p w:rsidR="003E77D2" w:rsidRDefault="003E77D2" w:rsidP="003E77D2">
      <w:pPr>
        <w:pStyle w:val="ListParagraph"/>
        <w:numPr>
          <w:ilvl w:val="4"/>
          <w:numId w:val="1"/>
        </w:numPr>
        <w:spacing w:after="200" w:line="276" w:lineRule="auto"/>
        <w:ind w:left="1800"/>
        <w:rPr>
          <w:rFonts w:asciiTheme="minorHAnsi" w:hAnsiTheme="minorHAnsi" w:cstheme="minorHAnsi"/>
          <w:sz w:val="22"/>
          <w:szCs w:val="22"/>
        </w:rPr>
      </w:pPr>
      <w:proofErr w:type="spellStart"/>
      <w:r w:rsidRPr="00C817B7">
        <w:rPr>
          <w:rFonts w:asciiTheme="minorHAnsi" w:hAnsiTheme="minorHAnsi" w:cstheme="minorHAnsi"/>
          <w:sz w:val="22"/>
          <w:szCs w:val="22"/>
        </w:rPr>
        <w:t>Involucrum</w:t>
      </w:r>
      <w:proofErr w:type="spellEnd"/>
      <w:r>
        <w:rPr>
          <w:rFonts w:asciiTheme="minorHAnsi" w:hAnsiTheme="minorHAnsi" w:cstheme="minorHAnsi"/>
          <w:sz w:val="22"/>
          <w:szCs w:val="22"/>
        </w:rPr>
        <w:t xml:space="preserve"> - </w:t>
      </w:r>
      <w:proofErr w:type="spellStart"/>
      <w:r w:rsidRPr="000521F5">
        <w:rPr>
          <w:rFonts w:asciiTheme="minorHAnsi" w:hAnsiTheme="minorHAnsi" w:cstheme="minorHAnsi"/>
          <w:sz w:val="22"/>
          <w:szCs w:val="22"/>
        </w:rPr>
        <w:t>Involucrum</w:t>
      </w:r>
      <w:proofErr w:type="spellEnd"/>
      <w:r w:rsidRPr="000521F5">
        <w:rPr>
          <w:rFonts w:asciiTheme="minorHAnsi" w:hAnsiTheme="minorHAnsi" w:cstheme="minorHAnsi"/>
          <w:sz w:val="22"/>
          <w:szCs w:val="22"/>
        </w:rPr>
        <w:t xml:space="preserve"> is a layer of new </w:t>
      </w:r>
      <w:hyperlink r:id="rId11" w:tooltip="Bone" w:history="1">
        <w:r w:rsidRPr="000521F5">
          <w:rPr>
            <w:rFonts w:asciiTheme="minorHAnsi" w:hAnsiTheme="minorHAnsi" w:cstheme="minorHAnsi"/>
            <w:sz w:val="22"/>
            <w:szCs w:val="22"/>
          </w:rPr>
          <w:t>bone</w:t>
        </w:r>
      </w:hyperlink>
      <w:r w:rsidRPr="000521F5">
        <w:rPr>
          <w:rFonts w:asciiTheme="minorHAnsi" w:hAnsiTheme="minorHAnsi" w:cstheme="minorHAnsi"/>
          <w:sz w:val="22"/>
          <w:szCs w:val="22"/>
        </w:rPr>
        <w:t xml:space="preserve"> growth outside existing bone seen in </w:t>
      </w:r>
      <w:hyperlink r:id="rId12" w:tooltip="Pyogenic" w:history="1">
        <w:proofErr w:type="spellStart"/>
        <w:r w:rsidRPr="000521F5">
          <w:rPr>
            <w:rFonts w:asciiTheme="minorHAnsi" w:hAnsiTheme="minorHAnsi" w:cstheme="minorHAnsi"/>
            <w:sz w:val="22"/>
            <w:szCs w:val="22"/>
          </w:rPr>
          <w:t>pyogenic</w:t>
        </w:r>
        <w:proofErr w:type="spellEnd"/>
      </w:hyperlink>
      <w:r w:rsidRPr="000521F5">
        <w:rPr>
          <w:rFonts w:asciiTheme="minorHAnsi" w:hAnsiTheme="minorHAnsi" w:cstheme="minorHAnsi"/>
          <w:sz w:val="22"/>
          <w:szCs w:val="22"/>
        </w:rPr>
        <w:t xml:space="preserve"> </w:t>
      </w:r>
      <w:hyperlink r:id="rId13" w:tooltip="Osteomyelitis" w:history="1">
        <w:r w:rsidRPr="000521F5">
          <w:rPr>
            <w:rFonts w:asciiTheme="minorHAnsi" w:hAnsiTheme="minorHAnsi" w:cstheme="minorHAnsi"/>
            <w:sz w:val="22"/>
            <w:szCs w:val="22"/>
          </w:rPr>
          <w:t>osteomyelitis</w:t>
        </w:r>
      </w:hyperlink>
      <w:r w:rsidRPr="000521F5">
        <w:rPr>
          <w:rFonts w:asciiTheme="minorHAnsi" w:hAnsiTheme="minorHAnsi" w:cstheme="minorHAnsi"/>
          <w:sz w:val="22"/>
          <w:szCs w:val="22"/>
        </w:rPr>
        <w:t xml:space="preserve">. It results from the stripping off of the </w:t>
      </w:r>
      <w:hyperlink r:id="rId14" w:tooltip="Periosteum" w:history="1">
        <w:proofErr w:type="spellStart"/>
        <w:r w:rsidRPr="000521F5">
          <w:rPr>
            <w:rFonts w:asciiTheme="minorHAnsi" w:hAnsiTheme="minorHAnsi" w:cstheme="minorHAnsi"/>
            <w:sz w:val="22"/>
            <w:szCs w:val="22"/>
          </w:rPr>
          <w:t>periosteum</w:t>
        </w:r>
        <w:proofErr w:type="spellEnd"/>
      </w:hyperlink>
      <w:r w:rsidRPr="000521F5">
        <w:rPr>
          <w:rFonts w:asciiTheme="minorHAnsi" w:hAnsiTheme="minorHAnsi" w:cstheme="minorHAnsi"/>
          <w:sz w:val="22"/>
          <w:szCs w:val="22"/>
        </w:rPr>
        <w:t xml:space="preserve"> by the accumulation of </w:t>
      </w:r>
      <w:hyperlink r:id="rId15" w:tooltip="Pus" w:history="1">
        <w:r w:rsidRPr="000521F5">
          <w:rPr>
            <w:rFonts w:asciiTheme="minorHAnsi" w:hAnsiTheme="minorHAnsi" w:cstheme="minorHAnsi"/>
            <w:sz w:val="22"/>
            <w:szCs w:val="22"/>
          </w:rPr>
          <w:t>pus</w:t>
        </w:r>
      </w:hyperlink>
      <w:r w:rsidRPr="000521F5">
        <w:rPr>
          <w:rFonts w:asciiTheme="minorHAnsi" w:hAnsiTheme="minorHAnsi" w:cstheme="minorHAnsi"/>
          <w:sz w:val="22"/>
          <w:szCs w:val="22"/>
        </w:rPr>
        <w:t xml:space="preserve"> within the bone, and new bone growing from the </w:t>
      </w:r>
      <w:hyperlink r:id="rId16" w:tooltip="Periosteum" w:history="1">
        <w:proofErr w:type="spellStart"/>
        <w:r w:rsidRPr="000521F5">
          <w:rPr>
            <w:rFonts w:asciiTheme="minorHAnsi" w:hAnsiTheme="minorHAnsi" w:cstheme="minorHAnsi"/>
            <w:sz w:val="22"/>
            <w:szCs w:val="22"/>
          </w:rPr>
          <w:t>periosteum</w:t>
        </w:r>
        <w:proofErr w:type="spellEnd"/>
      </w:hyperlink>
      <w:r w:rsidRPr="000521F5">
        <w:rPr>
          <w:rFonts w:asciiTheme="minorHAnsi" w:hAnsiTheme="minorHAnsi" w:cstheme="minorHAnsi"/>
          <w:sz w:val="22"/>
          <w:szCs w:val="22"/>
        </w:rPr>
        <w:t>.</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Pr>
          <w:rFonts w:ascii="Arial" w:hAnsi="Arial" w:cs="Arial"/>
          <w:noProof/>
          <w:color w:val="000000"/>
          <w:sz w:val="20"/>
          <w:szCs w:val="20"/>
        </w:rPr>
        <w:drawing>
          <wp:inline distT="0" distB="0" distL="0" distR="0">
            <wp:extent cx="3754755" cy="4572000"/>
            <wp:effectExtent l="19050" t="0" r="0" b="0"/>
            <wp:docPr id="4" name="Picture 4" descr="Fr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ontal"/>
                    <pic:cNvPicPr>
                      <a:picLocks noChangeAspect="1" noChangeArrowheads="1"/>
                    </pic:cNvPicPr>
                  </pic:nvPicPr>
                  <pic:blipFill>
                    <a:blip r:embed="rId17" cstate="print"/>
                    <a:srcRect/>
                    <a:stretch>
                      <a:fillRect/>
                    </a:stretch>
                  </pic:blipFill>
                  <pic:spPr bwMode="auto">
                    <a:xfrm>
                      <a:off x="0" y="0"/>
                      <a:ext cx="3754755" cy="4572000"/>
                    </a:xfrm>
                    <a:prstGeom prst="rect">
                      <a:avLst/>
                    </a:prstGeom>
                    <a:noFill/>
                    <a:ln w="9525">
                      <a:noFill/>
                      <a:miter lim="800000"/>
                      <a:headEnd/>
                      <a:tailEnd/>
                    </a:ln>
                  </pic:spPr>
                </pic:pic>
              </a:graphicData>
            </a:graphic>
          </wp:inline>
        </w:drawing>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Chronic osteomyelitis in the developing world can rarely be cured.  The attempt is to gain </w:t>
      </w:r>
      <w:proofErr w:type="gramStart"/>
      <w:r w:rsidRPr="00C817B7">
        <w:rPr>
          <w:rFonts w:asciiTheme="minorHAnsi" w:hAnsiTheme="minorHAnsi" w:cstheme="minorHAnsi"/>
          <w:sz w:val="22"/>
          <w:szCs w:val="22"/>
        </w:rPr>
        <w:t>good</w:t>
      </w:r>
      <w:proofErr w:type="gramEnd"/>
      <w:r w:rsidRPr="00C817B7">
        <w:rPr>
          <w:rFonts w:asciiTheme="minorHAnsi" w:hAnsiTheme="minorHAnsi" w:cstheme="minorHAnsi"/>
          <w:sz w:val="22"/>
          <w:szCs w:val="22"/>
        </w:rPr>
        <w:t xml:space="preserve"> function/diminished drainage for several years until it flares again.</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Antibiotics will have little </w:t>
      </w:r>
      <w:proofErr w:type="gramStart"/>
      <w:r w:rsidRPr="00C817B7">
        <w:rPr>
          <w:rFonts w:asciiTheme="minorHAnsi" w:hAnsiTheme="minorHAnsi" w:cstheme="minorHAnsi"/>
          <w:sz w:val="22"/>
          <w:szCs w:val="22"/>
        </w:rPr>
        <w:t>affect</w:t>
      </w:r>
      <w:proofErr w:type="gramEnd"/>
      <w:r w:rsidRPr="00C817B7">
        <w:rPr>
          <w:rFonts w:asciiTheme="minorHAnsi" w:hAnsiTheme="minorHAnsi" w:cstheme="minorHAnsi"/>
          <w:sz w:val="22"/>
          <w:szCs w:val="22"/>
        </w:rPr>
        <w:t xml:space="preserve"> (alone) if the </w:t>
      </w:r>
      <w:proofErr w:type="spellStart"/>
      <w:r w:rsidRPr="00C817B7">
        <w:rPr>
          <w:rFonts w:asciiTheme="minorHAnsi" w:hAnsiTheme="minorHAnsi" w:cstheme="minorHAnsi"/>
          <w:sz w:val="22"/>
          <w:szCs w:val="22"/>
        </w:rPr>
        <w:t>sequestrum</w:t>
      </w:r>
      <w:proofErr w:type="spellEnd"/>
      <w:r w:rsidRPr="00C817B7">
        <w:rPr>
          <w:rFonts w:asciiTheme="minorHAnsi" w:hAnsiTheme="minorHAnsi" w:cstheme="minorHAnsi"/>
          <w:sz w:val="22"/>
          <w:szCs w:val="22"/>
        </w:rPr>
        <w:t xml:space="preserve"> is not removed. </w:t>
      </w:r>
    </w:p>
    <w:p w:rsidR="003E77D2" w:rsidRPr="00C817B7" w:rsidRDefault="003E77D2" w:rsidP="003E77D2">
      <w:pPr>
        <w:pStyle w:val="ListParagraph"/>
        <w:numPr>
          <w:ilvl w:val="3"/>
          <w:numId w:val="1"/>
        </w:numPr>
        <w:spacing w:after="200" w:line="276" w:lineRule="auto"/>
        <w:ind w:left="1080"/>
        <w:rPr>
          <w:rFonts w:asciiTheme="minorHAnsi" w:hAnsiTheme="minorHAnsi" w:cstheme="minorHAnsi"/>
          <w:sz w:val="22"/>
          <w:szCs w:val="22"/>
        </w:rPr>
      </w:pPr>
      <w:r w:rsidRPr="00C817B7">
        <w:rPr>
          <w:rFonts w:asciiTheme="minorHAnsi" w:hAnsiTheme="minorHAnsi" w:cstheme="minorHAnsi"/>
          <w:sz w:val="22"/>
          <w:szCs w:val="22"/>
        </w:rPr>
        <w:t xml:space="preserve">Removal of the </w:t>
      </w:r>
      <w:proofErr w:type="spellStart"/>
      <w:r w:rsidRPr="00C817B7">
        <w:rPr>
          <w:rFonts w:asciiTheme="minorHAnsi" w:hAnsiTheme="minorHAnsi" w:cstheme="minorHAnsi"/>
          <w:sz w:val="22"/>
          <w:szCs w:val="22"/>
        </w:rPr>
        <w:t>sequestrum</w:t>
      </w:r>
      <w:proofErr w:type="spellEnd"/>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In the case of large </w:t>
      </w:r>
      <w:proofErr w:type="spellStart"/>
      <w:r w:rsidRPr="00C817B7">
        <w:rPr>
          <w:rFonts w:asciiTheme="minorHAnsi" w:hAnsiTheme="minorHAnsi" w:cstheme="minorHAnsi"/>
          <w:sz w:val="22"/>
          <w:szCs w:val="22"/>
        </w:rPr>
        <w:t>sequestra</w:t>
      </w:r>
      <w:proofErr w:type="spellEnd"/>
      <w:r w:rsidRPr="00C817B7">
        <w:rPr>
          <w:rFonts w:asciiTheme="minorHAnsi" w:hAnsiTheme="minorHAnsi" w:cstheme="minorHAnsi"/>
          <w:sz w:val="22"/>
          <w:szCs w:val="22"/>
        </w:rPr>
        <w:t xml:space="preserve"> of the long bones (esp. humerus, tibia and femur), do not remove it prematurely.  This will destabilize the limb.   The </w:t>
      </w:r>
      <w:proofErr w:type="spellStart"/>
      <w:r w:rsidRPr="00C817B7">
        <w:rPr>
          <w:rFonts w:asciiTheme="minorHAnsi" w:hAnsiTheme="minorHAnsi" w:cstheme="minorHAnsi"/>
          <w:sz w:val="22"/>
          <w:szCs w:val="22"/>
        </w:rPr>
        <w:t>involucrum</w:t>
      </w:r>
      <w:proofErr w:type="spellEnd"/>
      <w:r w:rsidRPr="00C817B7">
        <w:rPr>
          <w:rFonts w:asciiTheme="minorHAnsi" w:hAnsiTheme="minorHAnsi" w:cstheme="minorHAnsi"/>
          <w:sz w:val="22"/>
          <w:szCs w:val="22"/>
        </w:rPr>
        <w:t xml:space="preserve"> must develop sufficiently to stabilize the limb before the dead bone is removed (this may require cast or external fixation to stabilize the limb in the meantime). </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 xml:space="preserve">In the case of smaller </w:t>
      </w:r>
      <w:proofErr w:type="spellStart"/>
      <w:r w:rsidRPr="00C817B7">
        <w:rPr>
          <w:rFonts w:asciiTheme="minorHAnsi" w:hAnsiTheme="minorHAnsi" w:cstheme="minorHAnsi"/>
          <w:sz w:val="22"/>
          <w:szCs w:val="22"/>
        </w:rPr>
        <w:t>sequestra</w:t>
      </w:r>
      <w:proofErr w:type="spellEnd"/>
      <w:r w:rsidRPr="00C817B7">
        <w:rPr>
          <w:rFonts w:asciiTheme="minorHAnsi" w:hAnsiTheme="minorHAnsi" w:cstheme="minorHAnsi"/>
          <w:sz w:val="22"/>
          <w:szCs w:val="22"/>
        </w:rPr>
        <w:t xml:space="preserve">, it can be removed immediately since the bone is stable around it.  It is whiter than the living bone and distinct sharp edges.  </w:t>
      </w:r>
    </w:p>
    <w:p w:rsidR="003E77D2" w:rsidRPr="00C817B7" w:rsidRDefault="003E77D2" w:rsidP="003E77D2">
      <w:pPr>
        <w:pStyle w:val="ListParagraph"/>
        <w:numPr>
          <w:ilvl w:val="4"/>
          <w:numId w:val="1"/>
        </w:numPr>
        <w:spacing w:after="200" w:line="276" w:lineRule="auto"/>
        <w:ind w:left="1800"/>
        <w:rPr>
          <w:rFonts w:asciiTheme="minorHAnsi" w:hAnsiTheme="minorHAnsi" w:cstheme="minorHAnsi"/>
          <w:sz w:val="22"/>
          <w:szCs w:val="22"/>
        </w:rPr>
      </w:pPr>
      <w:r w:rsidRPr="00C817B7">
        <w:rPr>
          <w:rFonts w:asciiTheme="minorHAnsi" w:hAnsiTheme="minorHAnsi" w:cstheme="minorHAnsi"/>
          <w:sz w:val="22"/>
          <w:szCs w:val="22"/>
        </w:rPr>
        <w:t>Bone heals best with soft tissue coverage and therefore rotation or transfer flaps may be required.</w:t>
      </w:r>
    </w:p>
    <w:p w:rsidR="003E77D2" w:rsidRPr="00C817B7" w:rsidRDefault="003E77D2" w:rsidP="003E77D2">
      <w:pPr>
        <w:pStyle w:val="ListParagraph"/>
        <w:numPr>
          <w:ilvl w:val="1"/>
          <w:numId w:val="1"/>
        </w:numPr>
        <w:spacing w:after="200" w:line="276" w:lineRule="auto"/>
        <w:ind w:left="720"/>
        <w:rPr>
          <w:rFonts w:asciiTheme="minorHAnsi" w:hAnsiTheme="minorHAnsi" w:cstheme="minorHAnsi"/>
          <w:sz w:val="22"/>
          <w:szCs w:val="22"/>
        </w:rPr>
      </w:pPr>
      <w:r w:rsidRPr="00C817B7">
        <w:rPr>
          <w:rFonts w:asciiTheme="minorHAnsi" w:hAnsiTheme="minorHAnsi" w:cstheme="minorHAnsi"/>
          <w:sz w:val="22"/>
          <w:szCs w:val="22"/>
        </w:rPr>
        <w:t>Non-pulmonary TB surgery</w:t>
      </w:r>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proofErr w:type="spellStart"/>
      <w:r w:rsidRPr="00C817B7">
        <w:rPr>
          <w:rFonts w:asciiTheme="minorHAnsi" w:hAnsiTheme="minorHAnsi" w:cstheme="minorHAnsi"/>
          <w:sz w:val="22"/>
          <w:szCs w:val="22"/>
        </w:rPr>
        <w:lastRenderedPageBreak/>
        <w:t>Pott’s</w:t>
      </w:r>
      <w:proofErr w:type="spellEnd"/>
      <w:r w:rsidRPr="00C817B7">
        <w:rPr>
          <w:rFonts w:asciiTheme="minorHAnsi" w:hAnsiTheme="minorHAnsi" w:cstheme="minorHAnsi"/>
          <w:sz w:val="22"/>
          <w:szCs w:val="22"/>
        </w:rPr>
        <w:t xml:space="preserve"> disease</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Greatest number of cases in lower thoracic spine and upper lumbar spine.  Vertebral body (rather than posterior elements) involved.   1 – 1.5% of all TB patients will have tubercular disease of the spine. </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The </w:t>
      </w:r>
      <w:proofErr w:type="spellStart"/>
      <w:r w:rsidRPr="00C817B7">
        <w:rPr>
          <w:rFonts w:asciiTheme="minorHAnsi" w:hAnsiTheme="minorHAnsi" w:cstheme="minorHAnsi"/>
          <w:sz w:val="22"/>
          <w:szCs w:val="22"/>
        </w:rPr>
        <w:t>caseating</w:t>
      </w:r>
      <w:proofErr w:type="spellEnd"/>
      <w:r w:rsidRPr="00C817B7">
        <w:rPr>
          <w:rFonts w:asciiTheme="minorHAnsi" w:hAnsiTheme="minorHAnsi" w:cstheme="minorHAnsi"/>
          <w:sz w:val="22"/>
          <w:szCs w:val="22"/>
        </w:rPr>
        <w:t xml:space="preserve"> </w:t>
      </w:r>
      <w:proofErr w:type="spellStart"/>
      <w:r w:rsidRPr="00C817B7">
        <w:rPr>
          <w:rFonts w:asciiTheme="minorHAnsi" w:hAnsiTheme="minorHAnsi" w:cstheme="minorHAnsi"/>
          <w:sz w:val="22"/>
          <w:szCs w:val="22"/>
        </w:rPr>
        <w:t>granulomas</w:t>
      </w:r>
      <w:proofErr w:type="spellEnd"/>
      <w:r w:rsidRPr="00C817B7">
        <w:rPr>
          <w:rFonts w:asciiTheme="minorHAnsi" w:hAnsiTheme="minorHAnsi" w:cstheme="minorHAnsi"/>
          <w:sz w:val="22"/>
          <w:szCs w:val="22"/>
        </w:rPr>
        <w:t xml:space="preserve"> (with or without pus) spare the discs and travel under the longitudinal ligaments.  Involvement of the epidural space is most likely to cause permanent neurologic damage</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Diagnosis simpler in children due to lack of other likely possibilities.  </w:t>
      </w:r>
      <w:proofErr w:type="spellStart"/>
      <w:r w:rsidRPr="00C817B7">
        <w:rPr>
          <w:rFonts w:asciiTheme="minorHAnsi" w:hAnsiTheme="minorHAnsi" w:cstheme="minorHAnsi"/>
          <w:sz w:val="22"/>
          <w:szCs w:val="22"/>
        </w:rPr>
        <w:t>Scheuermann’s</w:t>
      </w:r>
      <w:proofErr w:type="spellEnd"/>
      <w:r w:rsidRPr="00C817B7">
        <w:rPr>
          <w:rFonts w:asciiTheme="minorHAnsi" w:hAnsiTheme="minorHAnsi" w:cstheme="minorHAnsi"/>
          <w:sz w:val="22"/>
          <w:szCs w:val="22"/>
        </w:rPr>
        <w:t xml:space="preserve"> disease (self-limited </w:t>
      </w:r>
      <w:proofErr w:type="spellStart"/>
      <w:r w:rsidRPr="00C817B7">
        <w:rPr>
          <w:rFonts w:asciiTheme="minorHAnsi" w:hAnsiTheme="minorHAnsi" w:cstheme="minorHAnsi"/>
          <w:sz w:val="22"/>
          <w:szCs w:val="22"/>
        </w:rPr>
        <w:t>kyphosis</w:t>
      </w:r>
      <w:proofErr w:type="spellEnd"/>
      <w:r w:rsidRPr="00C817B7">
        <w:rPr>
          <w:rFonts w:asciiTheme="minorHAnsi" w:hAnsiTheme="minorHAnsi" w:cstheme="minorHAnsi"/>
          <w:sz w:val="22"/>
          <w:szCs w:val="22"/>
        </w:rPr>
        <w:t xml:space="preserve"> in pediatrics due to unequal growth) is one.   In adults, can be confused with many other diseases (</w:t>
      </w:r>
      <w:proofErr w:type="spellStart"/>
      <w:r w:rsidRPr="00C817B7">
        <w:rPr>
          <w:rFonts w:asciiTheme="minorHAnsi" w:hAnsiTheme="minorHAnsi" w:cstheme="minorHAnsi"/>
          <w:sz w:val="22"/>
          <w:szCs w:val="22"/>
        </w:rPr>
        <w:t>pyogenic</w:t>
      </w:r>
      <w:proofErr w:type="spellEnd"/>
      <w:r w:rsidRPr="00C817B7">
        <w:rPr>
          <w:rFonts w:asciiTheme="minorHAnsi" w:hAnsiTheme="minorHAnsi" w:cstheme="minorHAnsi"/>
          <w:sz w:val="22"/>
          <w:szCs w:val="22"/>
        </w:rPr>
        <w:t xml:space="preserve"> and fungal infections, secondary metastatic disease, </w:t>
      </w:r>
      <w:proofErr w:type="gramStart"/>
      <w:r w:rsidRPr="00C817B7">
        <w:rPr>
          <w:rFonts w:asciiTheme="minorHAnsi" w:hAnsiTheme="minorHAnsi" w:cstheme="minorHAnsi"/>
          <w:sz w:val="22"/>
          <w:szCs w:val="22"/>
        </w:rPr>
        <w:t>primary</w:t>
      </w:r>
      <w:proofErr w:type="gramEnd"/>
      <w:r w:rsidRPr="00C817B7">
        <w:rPr>
          <w:rFonts w:asciiTheme="minorHAnsi" w:hAnsiTheme="minorHAnsi" w:cstheme="minorHAnsi"/>
          <w:sz w:val="22"/>
          <w:szCs w:val="22"/>
        </w:rPr>
        <w:t xml:space="preserve"> tumors of bone, </w:t>
      </w:r>
      <w:proofErr w:type="spellStart"/>
      <w:r w:rsidRPr="00C817B7">
        <w:rPr>
          <w:rFonts w:asciiTheme="minorHAnsi" w:hAnsiTheme="minorHAnsi" w:cstheme="minorHAnsi"/>
          <w:sz w:val="22"/>
          <w:szCs w:val="22"/>
        </w:rPr>
        <w:t>sarcoidosis</w:t>
      </w:r>
      <w:proofErr w:type="spellEnd"/>
      <w:r w:rsidRPr="00C817B7">
        <w:rPr>
          <w:rFonts w:asciiTheme="minorHAnsi" w:hAnsiTheme="minorHAnsi" w:cstheme="minorHAnsi"/>
          <w:sz w:val="22"/>
          <w:szCs w:val="22"/>
        </w:rPr>
        <w:t xml:space="preserve">, and giant-cell tumors of bone. </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Slowly progressive constitutional symptoms – weakness, malaise, night sweats, fever and weight loss.   Spinal deformity and swelling occur later.  Pain is late sign associated with bone collapse and paralysis.   Neurologic signs usually occur late, may wax and wane.  Presence of motor function and rectal tone are good prognostic predictors. </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NB:  Long-term bed rest, with or without cast immobilization, is ineffective</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Surgery is expensive and often not available.  Open biopsy for diagnosis, debridement and grafting may be indicated, especially with involvement of more than one vertebral level.  In the face of adequate drug therapy, the onset of gradual paraplegia, worsening of paraplegia, present of motor loss after 1 month or severe paraplegia after six months.  Uncontrolled spasticity and the onset of any sudden severe paraplegia are absolute indications.   Resistance to chemotherapy and recurrence of disease are also indications.   Severe </w:t>
      </w:r>
      <w:proofErr w:type="spellStart"/>
      <w:r w:rsidRPr="00C817B7">
        <w:rPr>
          <w:rFonts w:asciiTheme="minorHAnsi" w:hAnsiTheme="minorHAnsi" w:cstheme="minorHAnsi"/>
          <w:sz w:val="22"/>
          <w:szCs w:val="22"/>
        </w:rPr>
        <w:t>kyphosis</w:t>
      </w:r>
      <w:proofErr w:type="spellEnd"/>
      <w:r w:rsidRPr="00C817B7">
        <w:rPr>
          <w:rFonts w:asciiTheme="minorHAnsi" w:hAnsiTheme="minorHAnsi" w:cstheme="minorHAnsi"/>
          <w:sz w:val="22"/>
          <w:szCs w:val="22"/>
        </w:rPr>
        <w:t xml:space="preserve"> with active disease, signs and symptoms of cord compression, progressive impairment of pulmonary function and progression of the </w:t>
      </w:r>
      <w:proofErr w:type="spellStart"/>
      <w:r w:rsidRPr="00C817B7">
        <w:rPr>
          <w:rFonts w:asciiTheme="minorHAnsi" w:hAnsiTheme="minorHAnsi" w:cstheme="minorHAnsi"/>
          <w:sz w:val="22"/>
          <w:szCs w:val="22"/>
        </w:rPr>
        <w:t>kyphotic</w:t>
      </w:r>
      <w:proofErr w:type="spellEnd"/>
      <w:r w:rsidRPr="00C817B7">
        <w:rPr>
          <w:rFonts w:asciiTheme="minorHAnsi" w:hAnsiTheme="minorHAnsi" w:cstheme="minorHAnsi"/>
          <w:sz w:val="22"/>
          <w:szCs w:val="22"/>
        </w:rPr>
        <w:t xml:space="preserve"> deformity are indications.   70 – 90% of those with </w:t>
      </w:r>
      <w:proofErr w:type="spellStart"/>
      <w:r w:rsidRPr="00C817B7">
        <w:rPr>
          <w:rFonts w:asciiTheme="minorHAnsi" w:hAnsiTheme="minorHAnsi" w:cstheme="minorHAnsi"/>
          <w:sz w:val="22"/>
          <w:szCs w:val="22"/>
        </w:rPr>
        <w:t>Pott</w:t>
      </w:r>
      <w:proofErr w:type="spellEnd"/>
      <w:r w:rsidRPr="00C817B7">
        <w:rPr>
          <w:rFonts w:asciiTheme="minorHAnsi" w:hAnsiTheme="minorHAnsi" w:cstheme="minorHAnsi"/>
          <w:sz w:val="22"/>
          <w:szCs w:val="22"/>
        </w:rPr>
        <w:t xml:space="preserve"> paralysis will recover with surgery. </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Ribs, iliac crest and fibula can be used as grafts but there is an incidence of late stress fracture.  External immobilization is mandatory whenever grafting is done. Posterior fusion in addition is desirable if available.  </w:t>
      </w:r>
    </w:p>
    <w:p w:rsidR="003E77D2" w:rsidRPr="00C817B7" w:rsidRDefault="003E77D2" w:rsidP="003E77D2">
      <w:pPr>
        <w:pStyle w:val="ListParagraph"/>
        <w:numPr>
          <w:ilvl w:val="1"/>
          <w:numId w:val="1"/>
        </w:numPr>
        <w:spacing w:after="200" w:line="276" w:lineRule="auto"/>
        <w:ind w:left="720"/>
        <w:rPr>
          <w:rFonts w:asciiTheme="minorHAnsi" w:hAnsiTheme="minorHAnsi" w:cstheme="minorHAnsi"/>
          <w:sz w:val="22"/>
          <w:szCs w:val="22"/>
        </w:rPr>
      </w:pPr>
      <w:r w:rsidRPr="00C817B7">
        <w:rPr>
          <w:rFonts w:asciiTheme="minorHAnsi" w:hAnsiTheme="minorHAnsi" w:cstheme="minorHAnsi"/>
          <w:sz w:val="22"/>
          <w:szCs w:val="22"/>
        </w:rPr>
        <w:t xml:space="preserve">Empyema – </w:t>
      </w:r>
    </w:p>
    <w:p w:rsidR="003E77D2" w:rsidRPr="00C817B7" w:rsidRDefault="007A10B3" w:rsidP="003E77D2">
      <w:pPr>
        <w:pStyle w:val="ListParagraph"/>
        <w:numPr>
          <w:ilvl w:val="2"/>
          <w:numId w:val="1"/>
        </w:numPr>
        <w:spacing w:after="200" w:line="276" w:lineRule="auto"/>
        <w:ind w:left="1440"/>
        <w:rPr>
          <w:rFonts w:asciiTheme="minorHAnsi" w:hAnsiTheme="minorHAnsi" w:cstheme="minorHAnsi"/>
          <w:sz w:val="22"/>
          <w:szCs w:val="22"/>
        </w:rPr>
      </w:pPr>
      <w:hyperlink r:id="rId18" w:history="1">
        <w:r w:rsidR="003E77D2" w:rsidRPr="00C817B7">
          <w:rPr>
            <w:rStyle w:val="Hyperlink"/>
            <w:rFonts w:asciiTheme="minorHAnsi" w:hAnsiTheme="minorHAnsi" w:cstheme="minorHAnsi"/>
            <w:sz w:val="22"/>
            <w:szCs w:val="22"/>
          </w:rPr>
          <w:t>http://ps.cnis.ca/wiki/index.php/Pus_in_the_pleura,_the_pericardium,_and_the_peritoneum</w:t>
        </w:r>
      </w:hyperlink>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r w:rsidRPr="00C817B7">
        <w:rPr>
          <w:rFonts w:asciiTheme="minorHAnsi" w:hAnsiTheme="minorHAnsi" w:cstheme="minorHAnsi"/>
          <w:sz w:val="22"/>
          <w:szCs w:val="22"/>
        </w:rPr>
        <w:t>Aspirate completely if watery – high recurrence rate and may require tapping every other day until no more forms (or it gets too thick to drain)</w:t>
      </w:r>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r w:rsidRPr="00C817B7">
        <w:rPr>
          <w:rFonts w:asciiTheme="minorHAnsi" w:hAnsiTheme="minorHAnsi" w:cstheme="minorHAnsi"/>
          <w:sz w:val="22"/>
          <w:szCs w:val="22"/>
        </w:rPr>
        <w:t xml:space="preserve">If pus is thicker, place a chest tube to water seal.  This tube may stay six to 12 weeks, so place it </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In a comfortable position if possible</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At the lowest possible (dependent) position [one rib space above the diaphragm to avoid blockage by the diaphragm] – may vary if patient is confined to bed as opposed to an ambulatory patient</w:t>
      </w:r>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r w:rsidRPr="00C817B7">
        <w:rPr>
          <w:rFonts w:asciiTheme="minorHAnsi" w:hAnsiTheme="minorHAnsi" w:cstheme="minorHAnsi"/>
          <w:sz w:val="22"/>
          <w:szCs w:val="22"/>
        </w:rPr>
        <w:lastRenderedPageBreak/>
        <w:t>Open drainage</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Used when closed drainage fails.  Pleural adhesions must have formed.</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Small ones may be done under rib block – break up </w:t>
      </w:r>
      <w:proofErr w:type="spellStart"/>
      <w:r w:rsidRPr="00C817B7">
        <w:rPr>
          <w:rFonts w:asciiTheme="minorHAnsi" w:hAnsiTheme="minorHAnsi" w:cstheme="minorHAnsi"/>
          <w:sz w:val="22"/>
          <w:szCs w:val="22"/>
        </w:rPr>
        <w:t>loculations</w:t>
      </w:r>
      <w:proofErr w:type="spellEnd"/>
      <w:r w:rsidRPr="00C817B7">
        <w:rPr>
          <w:rFonts w:asciiTheme="minorHAnsi" w:hAnsiTheme="minorHAnsi" w:cstheme="minorHAnsi"/>
          <w:sz w:val="22"/>
          <w:szCs w:val="22"/>
        </w:rPr>
        <w:t xml:space="preserve"> with finger before placing drain. </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proofErr w:type="spellStart"/>
      <w:r w:rsidRPr="00C817B7">
        <w:rPr>
          <w:rFonts w:asciiTheme="minorHAnsi" w:hAnsiTheme="minorHAnsi" w:cstheme="minorHAnsi"/>
          <w:sz w:val="22"/>
          <w:szCs w:val="22"/>
        </w:rPr>
        <w:t>Eloesser</w:t>
      </w:r>
      <w:proofErr w:type="spellEnd"/>
      <w:r w:rsidRPr="00C817B7">
        <w:rPr>
          <w:rFonts w:asciiTheme="minorHAnsi" w:hAnsiTheme="minorHAnsi" w:cstheme="minorHAnsi"/>
          <w:sz w:val="22"/>
          <w:szCs w:val="22"/>
        </w:rPr>
        <w:t xml:space="preserve"> flaps may be required but are usually done by a specialist.  They have significant morbidity in the DW.</w:t>
      </w:r>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r w:rsidRPr="00C817B7">
        <w:rPr>
          <w:rFonts w:asciiTheme="minorHAnsi" w:hAnsiTheme="minorHAnsi" w:cstheme="minorHAnsi"/>
          <w:sz w:val="22"/>
          <w:szCs w:val="22"/>
        </w:rPr>
        <w:t>Pearls</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Don’t drain tubercular empyema (empyema </w:t>
      </w:r>
      <w:proofErr w:type="spellStart"/>
      <w:r w:rsidRPr="00C817B7">
        <w:rPr>
          <w:rFonts w:asciiTheme="minorHAnsi" w:hAnsiTheme="minorHAnsi" w:cstheme="minorHAnsi"/>
          <w:sz w:val="22"/>
          <w:szCs w:val="22"/>
        </w:rPr>
        <w:t>necessitans</w:t>
      </w:r>
      <w:proofErr w:type="spellEnd"/>
      <w:r w:rsidRPr="00C817B7">
        <w:rPr>
          <w:rFonts w:asciiTheme="minorHAnsi" w:hAnsiTheme="minorHAnsi" w:cstheme="minorHAnsi"/>
          <w:sz w:val="22"/>
          <w:szCs w:val="22"/>
        </w:rPr>
        <w:t>)</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The chest tube should be a 30 Fr or above.  This may require resection of a short piece of rib</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Antibiotics are helpful for the pneumonia, but not the empyema</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Although King’s textbook states you can pull the tube, most are best converted to a chest tube</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If air comes out with the pus, a </w:t>
      </w:r>
      <w:proofErr w:type="spellStart"/>
      <w:r w:rsidRPr="00C817B7">
        <w:rPr>
          <w:rFonts w:asciiTheme="minorHAnsi" w:hAnsiTheme="minorHAnsi" w:cstheme="minorHAnsi"/>
          <w:sz w:val="22"/>
          <w:szCs w:val="22"/>
        </w:rPr>
        <w:t>bronchopleural</w:t>
      </w:r>
      <w:proofErr w:type="spellEnd"/>
      <w:r w:rsidRPr="00C817B7">
        <w:rPr>
          <w:rFonts w:asciiTheme="minorHAnsi" w:hAnsiTheme="minorHAnsi" w:cstheme="minorHAnsi"/>
          <w:sz w:val="22"/>
          <w:szCs w:val="22"/>
        </w:rPr>
        <w:t xml:space="preserve"> fistula may be present.  Suction will be required for the chest tube (most of the time).  Refer to specialist.</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proofErr w:type="spellStart"/>
      <w:r w:rsidRPr="00C817B7">
        <w:rPr>
          <w:rFonts w:asciiTheme="minorHAnsi" w:hAnsiTheme="minorHAnsi" w:cstheme="minorHAnsi"/>
          <w:sz w:val="22"/>
          <w:szCs w:val="22"/>
        </w:rPr>
        <w:t>Decortication</w:t>
      </w:r>
      <w:proofErr w:type="spellEnd"/>
      <w:r w:rsidRPr="00C817B7">
        <w:rPr>
          <w:rFonts w:asciiTheme="minorHAnsi" w:hAnsiTheme="minorHAnsi" w:cstheme="minorHAnsi"/>
          <w:sz w:val="22"/>
          <w:szCs w:val="22"/>
        </w:rPr>
        <w:t xml:space="preserve"> may be needed (refer if you are unable to perform it).</w:t>
      </w:r>
    </w:p>
    <w:p w:rsidR="003E77D2" w:rsidRPr="00C817B7" w:rsidRDefault="003E77D2" w:rsidP="003E77D2">
      <w:pPr>
        <w:pStyle w:val="ListParagraph"/>
        <w:numPr>
          <w:ilvl w:val="1"/>
          <w:numId w:val="1"/>
        </w:numPr>
        <w:spacing w:after="200" w:line="276" w:lineRule="auto"/>
        <w:ind w:left="720"/>
        <w:rPr>
          <w:rFonts w:asciiTheme="minorHAnsi" w:hAnsiTheme="minorHAnsi" w:cstheme="minorHAnsi"/>
          <w:sz w:val="22"/>
          <w:szCs w:val="22"/>
        </w:rPr>
      </w:pPr>
      <w:r w:rsidRPr="00C817B7">
        <w:rPr>
          <w:rFonts w:asciiTheme="minorHAnsi" w:hAnsiTheme="minorHAnsi" w:cstheme="minorHAnsi"/>
          <w:sz w:val="22"/>
          <w:szCs w:val="22"/>
        </w:rPr>
        <w:t>Ludwig’s angina</w:t>
      </w:r>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r w:rsidRPr="00C817B7">
        <w:rPr>
          <w:rFonts w:asciiTheme="minorHAnsi" w:hAnsiTheme="minorHAnsi" w:cstheme="minorHAnsi"/>
          <w:sz w:val="22"/>
          <w:szCs w:val="22"/>
        </w:rPr>
        <w:t xml:space="preserve">Due to oral Streptococcal </w:t>
      </w:r>
      <w:proofErr w:type="spellStart"/>
      <w:r w:rsidRPr="00C817B7">
        <w:rPr>
          <w:rFonts w:asciiTheme="minorHAnsi" w:hAnsiTheme="minorHAnsi" w:cstheme="minorHAnsi"/>
          <w:sz w:val="22"/>
          <w:szCs w:val="22"/>
        </w:rPr>
        <w:t>ssp</w:t>
      </w:r>
      <w:proofErr w:type="spellEnd"/>
      <w:r w:rsidRPr="00C817B7">
        <w:rPr>
          <w:rFonts w:asciiTheme="minorHAnsi" w:hAnsiTheme="minorHAnsi" w:cstheme="minorHAnsi"/>
          <w:sz w:val="22"/>
          <w:szCs w:val="22"/>
        </w:rPr>
        <w:t xml:space="preserve"> (anaerobic), Staphylococcus and </w:t>
      </w:r>
      <w:proofErr w:type="spellStart"/>
      <w:r w:rsidRPr="00C817B7">
        <w:rPr>
          <w:rFonts w:asciiTheme="minorHAnsi" w:hAnsiTheme="minorHAnsi" w:cstheme="minorHAnsi"/>
          <w:sz w:val="22"/>
          <w:szCs w:val="22"/>
        </w:rPr>
        <w:t>Bacteroides</w:t>
      </w:r>
      <w:proofErr w:type="spellEnd"/>
      <w:r w:rsidRPr="00C817B7">
        <w:rPr>
          <w:rFonts w:asciiTheme="minorHAnsi" w:hAnsiTheme="minorHAnsi" w:cstheme="minorHAnsi"/>
          <w:sz w:val="22"/>
          <w:szCs w:val="22"/>
        </w:rPr>
        <w:t xml:space="preserve">.  Penicillin/metronidazole and/or </w:t>
      </w:r>
      <w:proofErr w:type="spellStart"/>
      <w:r w:rsidRPr="00C817B7">
        <w:rPr>
          <w:rFonts w:asciiTheme="minorHAnsi" w:hAnsiTheme="minorHAnsi" w:cstheme="minorHAnsi"/>
          <w:sz w:val="22"/>
          <w:szCs w:val="22"/>
        </w:rPr>
        <w:t>clindamycin</w:t>
      </w:r>
      <w:proofErr w:type="spellEnd"/>
      <w:r w:rsidRPr="00C817B7">
        <w:rPr>
          <w:rFonts w:asciiTheme="minorHAnsi" w:hAnsiTheme="minorHAnsi" w:cstheme="minorHAnsi"/>
          <w:sz w:val="22"/>
          <w:szCs w:val="22"/>
        </w:rPr>
        <w:t xml:space="preserve"> – may respond to only antibiotics and not require surgery. </w:t>
      </w:r>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r w:rsidRPr="00C817B7">
        <w:rPr>
          <w:rFonts w:asciiTheme="minorHAnsi" w:hAnsiTheme="minorHAnsi" w:cstheme="minorHAnsi"/>
          <w:sz w:val="22"/>
          <w:szCs w:val="22"/>
        </w:rPr>
        <w:t xml:space="preserve">Usually due to abscess of 2nd and 3rd lower molars.   The </w:t>
      </w:r>
      <w:proofErr w:type="spellStart"/>
      <w:r w:rsidRPr="00C817B7">
        <w:rPr>
          <w:rFonts w:asciiTheme="minorHAnsi" w:hAnsiTheme="minorHAnsi" w:cstheme="minorHAnsi"/>
          <w:sz w:val="22"/>
          <w:szCs w:val="22"/>
        </w:rPr>
        <w:t>Submandibular</w:t>
      </w:r>
      <w:proofErr w:type="spellEnd"/>
      <w:r w:rsidRPr="00C817B7">
        <w:rPr>
          <w:rFonts w:asciiTheme="minorHAnsi" w:hAnsiTheme="minorHAnsi" w:cstheme="minorHAnsi"/>
          <w:sz w:val="22"/>
          <w:szCs w:val="22"/>
        </w:rPr>
        <w:t xml:space="preserve"> space is the primary site of infection but the pus can spread contiguously to the sublingual space. Infection can also spread contiguously to involve the </w:t>
      </w:r>
      <w:proofErr w:type="spellStart"/>
      <w:r w:rsidRPr="00C817B7">
        <w:rPr>
          <w:rFonts w:asciiTheme="minorHAnsi" w:hAnsiTheme="minorHAnsi" w:cstheme="minorHAnsi"/>
          <w:sz w:val="22"/>
          <w:szCs w:val="22"/>
        </w:rPr>
        <w:t>pharyngomaxillary</w:t>
      </w:r>
      <w:proofErr w:type="spellEnd"/>
      <w:r w:rsidRPr="00C817B7">
        <w:rPr>
          <w:rFonts w:asciiTheme="minorHAnsi" w:hAnsiTheme="minorHAnsi" w:cstheme="minorHAnsi"/>
          <w:sz w:val="22"/>
          <w:szCs w:val="22"/>
        </w:rPr>
        <w:t xml:space="preserve"> and retropharyngeal spaces, thereby encircling the airway.  The tongue may be protruded.  It can progress down onto the chest as a necrotizing fasciitis. </w:t>
      </w:r>
    </w:p>
    <w:p w:rsidR="003E77D2" w:rsidRPr="00C817B7" w:rsidRDefault="003E77D2" w:rsidP="003E77D2">
      <w:pPr>
        <w:pStyle w:val="ListParagraph"/>
        <w:numPr>
          <w:ilvl w:val="2"/>
          <w:numId w:val="1"/>
        </w:numPr>
        <w:spacing w:after="200" w:line="276" w:lineRule="auto"/>
        <w:ind w:left="1440"/>
        <w:rPr>
          <w:rFonts w:asciiTheme="minorHAnsi" w:hAnsiTheme="minorHAnsi" w:cstheme="minorHAnsi"/>
          <w:sz w:val="22"/>
          <w:szCs w:val="22"/>
        </w:rPr>
      </w:pPr>
      <w:r w:rsidRPr="00C817B7">
        <w:rPr>
          <w:rFonts w:asciiTheme="minorHAnsi" w:hAnsiTheme="minorHAnsi" w:cstheme="minorHAnsi"/>
          <w:sz w:val="22"/>
          <w:szCs w:val="22"/>
        </w:rPr>
        <w:t xml:space="preserve">65% or more will require drainage, but exam is sometimes unreliable.  CT with contrast is preferred, but ultrasound can give a lot of information. </w:t>
      </w:r>
    </w:p>
    <w:p w:rsidR="003E77D2" w:rsidRPr="00C817B7" w:rsidRDefault="003E77D2" w:rsidP="003E77D2">
      <w:pPr>
        <w:pStyle w:val="ListParagraph"/>
        <w:numPr>
          <w:ilvl w:val="2"/>
          <w:numId w:val="1"/>
        </w:numPr>
        <w:spacing w:after="200" w:line="276" w:lineRule="auto"/>
        <w:ind w:left="1440"/>
        <w:rPr>
          <w:rStyle w:val="apple-style-span"/>
          <w:rFonts w:asciiTheme="minorHAnsi" w:hAnsiTheme="minorHAnsi" w:cstheme="minorHAnsi"/>
          <w:sz w:val="22"/>
          <w:szCs w:val="22"/>
        </w:rPr>
      </w:pPr>
      <w:r w:rsidRPr="00C817B7">
        <w:rPr>
          <w:rStyle w:val="apple-style-span"/>
          <w:rFonts w:asciiTheme="minorHAnsi" w:hAnsiTheme="minorHAnsi" w:cstheme="minorHAnsi"/>
          <w:color w:val="000000"/>
          <w:sz w:val="22"/>
          <w:szCs w:val="22"/>
        </w:rPr>
        <w:t>Pearls:</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Remember airway – a definitive or surgical airway may be necessary.  Progress of the disease can be rapid (within hours).   </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Early dental consult</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 xml:space="preserve">Look for associated </w:t>
      </w:r>
      <w:proofErr w:type="spellStart"/>
      <w:r w:rsidRPr="00C817B7">
        <w:rPr>
          <w:rFonts w:asciiTheme="minorHAnsi" w:hAnsiTheme="minorHAnsi" w:cstheme="minorHAnsi"/>
          <w:sz w:val="22"/>
          <w:szCs w:val="22"/>
        </w:rPr>
        <w:t>mandibular</w:t>
      </w:r>
      <w:proofErr w:type="spellEnd"/>
      <w:r w:rsidRPr="00C817B7">
        <w:rPr>
          <w:rFonts w:asciiTheme="minorHAnsi" w:hAnsiTheme="minorHAnsi" w:cstheme="minorHAnsi"/>
          <w:sz w:val="22"/>
          <w:szCs w:val="22"/>
        </w:rPr>
        <w:t xml:space="preserve"> osteomyelitis</w:t>
      </w:r>
    </w:p>
    <w:p w:rsidR="003E77D2" w:rsidRPr="00C817B7" w:rsidRDefault="003E77D2" w:rsidP="003E77D2">
      <w:pPr>
        <w:pStyle w:val="ListParagraph"/>
        <w:numPr>
          <w:ilvl w:val="3"/>
          <w:numId w:val="1"/>
        </w:numPr>
        <w:spacing w:after="200" w:line="276" w:lineRule="auto"/>
        <w:ind w:left="2160"/>
        <w:rPr>
          <w:rFonts w:asciiTheme="minorHAnsi" w:hAnsiTheme="minorHAnsi" w:cstheme="minorHAnsi"/>
          <w:sz w:val="22"/>
          <w:szCs w:val="22"/>
        </w:rPr>
      </w:pPr>
      <w:r w:rsidRPr="00C817B7">
        <w:rPr>
          <w:rFonts w:asciiTheme="minorHAnsi" w:hAnsiTheme="minorHAnsi" w:cstheme="minorHAnsi"/>
          <w:sz w:val="22"/>
          <w:szCs w:val="22"/>
        </w:rPr>
        <w:t>Drain abscesses when evident – multiple drains at extent of abscesses.</w:t>
      </w:r>
    </w:p>
    <w:p w:rsidR="003E77D2" w:rsidRPr="00C817B7" w:rsidRDefault="003E77D2" w:rsidP="003E77D2">
      <w:pPr>
        <w:pStyle w:val="ListParagraph"/>
        <w:ind w:left="0"/>
        <w:jc w:val="both"/>
        <w:rPr>
          <w:rFonts w:asciiTheme="minorHAnsi" w:hAnsiTheme="minorHAnsi" w:cstheme="minorHAnsi"/>
          <w:sz w:val="22"/>
          <w:szCs w:val="22"/>
        </w:rPr>
      </w:pPr>
      <w:r w:rsidRPr="00C817B7">
        <w:rPr>
          <w:rFonts w:asciiTheme="minorHAnsi" w:hAnsiTheme="minorHAnsi" w:cstheme="minorHAnsi"/>
          <w:sz w:val="22"/>
          <w:szCs w:val="22"/>
        </w:rPr>
        <w:t>References:</w:t>
      </w:r>
    </w:p>
    <w:p w:rsidR="003E77D2" w:rsidRPr="00C817B7" w:rsidRDefault="003E77D2" w:rsidP="003E77D2">
      <w:pPr>
        <w:pStyle w:val="ListParagraph"/>
        <w:numPr>
          <w:ilvl w:val="0"/>
          <w:numId w:val="2"/>
        </w:numPr>
        <w:spacing w:after="200" w:line="276" w:lineRule="auto"/>
        <w:ind w:left="360"/>
        <w:jc w:val="both"/>
        <w:rPr>
          <w:rFonts w:asciiTheme="minorHAnsi" w:hAnsiTheme="minorHAnsi" w:cstheme="minorHAnsi"/>
          <w:sz w:val="22"/>
          <w:szCs w:val="22"/>
        </w:rPr>
      </w:pPr>
      <w:r w:rsidRPr="00C817B7">
        <w:rPr>
          <w:rFonts w:asciiTheme="minorHAnsi" w:hAnsiTheme="minorHAnsi" w:cstheme="minorHAnsi"/>
          <w:sz w:val="22"/>
          <w:szCs w:val="22"/>
        </w:rPr>
        <w:t xml:space="preserve">King, Maurice (ed.), P. </w:t>
      </w:r>
      <w:proofErr w:type="spellStart"/>
      <w:r w:rsidRPr="00C817B7">
        <w:rPr>
          <w:rFonts w:asciiTheme="minorHAnsi" w:hAnsiTheme="minorHAnsi" w:cstheme="minorHAnsi"/>
          <w:sz w:val="22"/>
          <w:szCs w:val="22"/>
        </w:rPr>
        <w:t>Bewes</w:t>
      </w:r>
      <w:proofErr w:type="spellEnd"/>
      <w:r w:rsidRPr="00C817B7">
        <w:rPr>
          <w:rFonts w:asciiTheme="minorHAnsi" w:hAnsiTheme="minorHAnsi" w:cstheme="minorHAnsi"/>
          <w:sz w:val="22"/>
          <w:szCs w:val="22"/>
        </w:rPr>
        <w:t xml:space="preserve"> (ed.) et al, </w:t>
      </w:r>
      <w:r w:rsidRPr="00C817B7">
        <w:rPr>
          <w:rFonts w:asciiTheme="minorHAnsi" w:hAnsiTheme="minorHAnsi" w:cstheme="minorHAnsi"/>
          <w:i/>
          <w:sz w:val="22"/>
          <w:szCs w:val="22"/>
        </w:rPr>
        <w:t>Primary Surgery: Volume One, Non-Trauma</w:t>
      </w:r>
      <w:r w:rsidRPr="00C817B7">
        <w:rPr>
          <w:rFonts w:asciiTheme="minorHAnsi" w:hAnsiTheme="minorHAnsi" w:cstheme="minorHAnsi"/>
          <w:sz w:val="22"/>
          <w:szCs w:val="22"/>
        </w:rPr>
        <w:t>, Oxford: Oxford Medical Publications, 1993, ISBN 0-19-261694-3</w:t>
      </w:r>
      <w:r w:rsidRPr="00C817B7">
        <w:rPr>
          <w:rStyle w:val="FootnoteReference"/>
          <w:rFonts w:asciiTheme="minorHAnsi" w:hAnsiTheme="minorHAnsi" w:cstheme="minorHAnsi"/>
          <w:sz w:val="22"/>
          <w:szCs w:val="22"/>
        </w:rPr>
        <w:footnoteReference w:id="1"/>
      </w:r>
    </w:p>
    <w:p w:rsidR="003E77D2" w:rsidRPr="00C817B7" w:rsidRDefault="003E77D2" w:rsidP="003E77D2">
      <w:pPr>
        <w:pStyle w:val="ListParagraph"/>
        <w:numPr>
          <w:ilvl w:val="0"/>
          <w:numId w:val="2"/>
        </w:numPr>
        <w:spacing w:after="200" w:line="276" w:lineRule="auto"/>
        <w:ind w:left="360"/>
        <w:jc w:val="both"/>
        <w:rPr>
          <w:rFonts w:asciiTheme="minorHAnsi" w:hAnsiTheme="minorHAnsi" w:cstheme="minorHAnsi"/>
          <w:sz w:val="22"/>
          <w:szCs w:val="22"/>
        </w:rPr>
      </w:pPr>
      <w:r w:rsidRPr="00C817B7">
        <w:rPr>
          <w:rFonts w:asciiTheme="minorHAnsi" w:hAnsiTheme="minorHAnsi" w:cstheme="minorHAnsi"/>
          <w:sz w:val="22"/>
          <w:szCs w:val="22"/>
        </w:rPr>
        <w:t xml:space="preserve">King, Maurice (ed.), P. </w:t>
      </w:r>
      <w:proofErr w:type="spellStart"/>
      <w:r w:rsidRPr="00C817B7">
        <w:rPr>
          <w:rFonts w:asciiTheme="minorHAnsi" w:hAnsiTheme="minorHAnsi" w:cstheme="minorHAnsi"/>
          <w:sz w:val="22"/>
          <w:szCs w:val="22"/>
        </w:rPr>
        <w:t>Bewes</w:t>
      </w:r>
      <w:proofErr w:type="spellEnd"/>
      <w:r w:rsidRPr="00C817B7">
        <w:rPr>
          <w:rFonts w:asciiTheme="minorHAnsi" w:hAnsiTheme="minorHAnsi" w:cstheme="minorHAnsi"/>
          <w:sz w:val="22"/>
          <w:szCs w:val="22"/>
        </w:rPr>
        <w:t xml:space="preserve"> (ed.) et al, </w:t>
      </w:r>
      <w:r w:rsidRPr="00C817B7">
        <w:rPr>
          <w:rFonts w:asciiTheme="minorHAnsi" w:hAnsiTheme="minorHAnsi" w:cstheme="minorHAnsi"/>
          <w:i/>
          <w:sz w:val="22"/>
          <w:szCs w:val="22"/>
        </w:rPr>
        <w:t>Primary Surgery: Volume Two, Trauma</w:t>
      </w:r>
      <w:r w:rsidRPr="00C817B7">
        <w:rPr>
          <w:rFonts w:asciiTheme="minorHAnsi" w:hAnsiTheme="minorHAnsi" w:cstheme="minorHAnsi"/>
          <w:sz w:val="22"/>
          <w:szCs w:val="22"/>
        </w:rPr>
        <w:t>, Oxford: Oxford Medical Publications, 1993, ISBN 0-19-261598-X or ISBN 0-19-26159-8</w:t>
      </w:r>
      <w:r w:rsidRPr="00C817B7">
        <w:rPr>
          <w:rStyle w:val="FootnoteReference"/>
          <w:rFonts w:asciiTheme="minorHAnsi" w:hAnsiTheme="minorHAnsi" w:cstheme="minorHAnsi"/>
          <w:sz w:val="22"/>
          <w:szCs w:val="22"/>
        </w:rPr>
        <w:t>6</w:t>
      </w:r>
    </w:p>
    <w:p w:rsidR="003E77D2" w:rsidRPr="00C817B7" w:rsidRDefault="003E77D2" w:rsidP="003E77D2">
      <w:pPr>
        <w:pStyle w:val="ListParagraph"/>
        <w:numPr>
          <w:ilvl w:val="1"/>
          <w:numId w:val="2"/>
        </w:numPr>
        <w:spacing w:after="200" w:line="276" w:lineRule="auto"/>
        <w:ind w:left="1080"/>
        <w:jc w:val="both"/>
        <w:rPr>
          <w:rFonts w:asciiTheme="minorHAnsi" w:hAnsiTheme="minorHAnsi" w:cstheme="minorHAnsi"/>
          <w:sz w:val="22"/>
          <w:szCs w:val="22"/>
        </w:rPr>
      </w:pPr>
      <w:r w:rsidRPr="00C817B7">
        <w:rPr>
          <w:rFonts w:asciiTheme="minorHAnsi" w:hAnsiTheme="minorHAnsi" w:cstheme="minorHAnsi"/>
          <w:sz w:val="22"/>
          <w:szCs w:val="22"/>
        </w:rPr>
        <w:lastRenderedPageBreak/>
        <w:t xml:space="preserve">Note:  Primary Surgery wiki (courtesy of the Canadian Network for International Surgery is available at </w:t>
      </w:r>
      <w:hyperlink r:id="rId19" w:history="1">
        <w:r w:rsidRPr="00C817B7">
          <w:rPr>
            <w:rStyle w:val="Hyperlink"/>
            <w:rFonts w:asciiTheme="minorHAnsi" w:hAnsiTheme="minorHAnsi" w:cstheme="minorHAnsi"/>
            <w:sz w:val="22"/>
            <w:szCs w:val="22"/>
          </w:rPr>
          <w:t>http://ps.cnis.ca/wiki/index.php/Main_Page</w:t>
        </w:r>
      </w:hyperlink>
      <w:r w:rsidRPr="00C817B7">
        <w:rPr>
          <w:rFonts w:asciiTheme="minorHAnsi" w:hAnsiTheme="minorHAnsi" w:cstheme="minorHAnsi"/>
          <w:sz w:val="22"/>
          <w:szCs w:val="22"/>
        </w:rPr>
        <w:t xml:space="preserve">  </w:t>
      </w:r>
    </w:p>
    <w:p w:rsidR="003E77D2" w:rsidRPr="00C817B7" w:rsidRDefault="003E77D2" w:rsidP="003E77D2">
      <w:pPr>
        <w:pStyle w:val="ListParagraph"/>
        <w:numPr>
          <w:ilvl w:val="1"/>
          <w:numId w:val="2"/>
        </w:numPr>
        <w:spacing w:after="200" w:line="276" w:lineRule="auto"/>
        <w:ind w:left="1080"/>
        <w:jc w:val="both"/>
        <w:rPr>
          <w:rFonts w:asciiTheme="minorHAnsi" w:hAnsiTheme="minorHAnsi" w:cstheme="minorHAnsi"/>
          <w:sz w:val="22"/>
          <w:szCs w:val="22"/>
        </w:rPr>
      </w:pPr>
      <w:r w:rsidRPr="00C817B7">
        <w:rPr>
          <w:rFonts w:asciiTheme="minorHAnsi" w:hAnsiTheme="minorHAnsi" w:cstheme="minorHAnsi"/>
          <w:sz w:val="22"/>
          <w:szCs w:val="22"/>
        </w:rPr>
        <w:t xml:space="preserve">Note:  Primary Surgery is also provided via the German Society for Tropical Surgery  </w:t>
      </w:r>
      <w:hyperlink r:id="rId20" w:history="1">
        <w:r w:rsidRPr="00C817B7">
          <w:rPr>
            <w:rStyle w:val="Hyperlink"/>
            <w:rFonts w:asciiTheme="minorHAnsi" w:hAnsiTheme="minorHAnsi" w:cstheme="minorHAnsi"/>
            <w:sz w:val="22"/>
            <w:szCs w:val="22"/>
          </w:rPr>
          <w:t>http://www.primary-surgery.org/</w:t>
        </w:r>
      </w:hyperlink>
      <w:r w:rsidRPr="00C817B7">
        <w:rPr>
          <w:rFonts w:asciiTheme="minorHAnsi" w:hAnsiTheme="minorHAnsi" w:cstheme="minorHAnsi"/>
          <w:sz w:val="22"/>
          <w:szCs w:val="22"/>
        </w:rPr>
        <w:t xml:space="preserve"> and chapters 4, 7, &amp; 70 are downloadable as PDFs</w:t>
      </w:r>
    </w:p>
    <w:p w:rsidR="003E77D2" w:rsidRPr="00C817B7" w:rsidRDefault="003E77D2" w:rsidP="003E77D2">
      <w:pPr>
        <w:pStyle w:val="ListParagraph"/>
        <w:numPr>
          <w:ilvl w:val="0"/>
          <w:numId w:val="2"/>
        </w:numPr>
        <w:spacing w:after="200" w:line="276" w:lineRule="auto"/>
        <w:ind w:left="360"/>
        <w:jc w:val="both"/>
        <w:rPr>
          <w:rFonts w:asciiTheme="minorHAnsi" w:hAnsiTheme="minorHAnsi" w:cstheme="minorHAnsi"/>
          <w:sz w:val="22"/>
          <w:szCs w:val="22"/>
        </w:rPr>
      </w:pPr>
      <w:r w:rsidRPr="00C817B7">
        <w:rPr>
          <w:rFonts w:asciiTheme="minorHAnsi" w:hAnsiTheme="minorHAnsi" w:cstheme="minorHAnsi"/>
          <w:sz w:val="22"/>
          <w:szCs w:val="22"/>
        </w:rPr>
        <w:t xml:space="preserve">Surgical Care at the District Hospital – WHO Manual.  Free download from </w:t>
      </w:r>
      <w:hyperlink r:id="rId21" w:history="1">
        <w:r w:rsidRPr="00C817B7">
          <w:rPr>
            <w:rStyle w:val="Hyperlink"/>
            <w:rFonts w:asciiTheme="minorHAnsi" w:hAnsiTheme="minorHAnsi" w:cstheme="minorHAnsi"/>
            <w:sz w:val="22"/>
            <w:szCs w:val="22"/>
          </w:rPr>
          <w:t>http://www.who.int/surgery/publications/scdh_manual/en/index.html</w:t>
        </w:r>
      </w:hyperlink>
      <w:r w:rsidRPr="00C817B7">
        <w:rPr>
          <w:rFonts w:asciiTheme="minorHAnsi" w:hAnsiTheme="minorHAnsi" w:cstheme="minorHAnsi"/>
          <w:sz w:val="22"/>
          <w:szCs w:val="22"/>
        </w:rPr>
        <w:t xml:space="preserve"> </w:t>
      </w:r>
    </w:p>
    <w:p w:rsidR="003E77D2" w:rsidRPr="00C817B7" w:rsidRDefault="003E77D2" w:rsidP="003E77D2">
      <w:pPr>
        <w:pStyle w:val="ListParagraph"/>
        <w:numPr>
          <w:ilvl w:val="0"/>
          <w:numId w:val="2"/>
        </w:numPr>
        <w:spacing w:after="200" w:line="276" w:lineRule="auto"/>
        <w:ind w:left="360"/>
        <w:jc w:val="both"/>
        <w:rPr>
          <w:rFonts w:asciiTheme="minorHAnsi" w:hAnsiTheme="minorHAnsi" w:cstheme="minorHAnsi"/>
          <w:sz w:val="22"/>
          <w:szCs w:val="22"/>
        </w:rPr>
      </w:pPr>
      <w:r w:rsidRPr="00C817B7">
        <w:rPr>
          <w:rFonts w:asciiTheme="minorHAnsi" w:hAnsiTheme="minorHAnsi" w:cstheme="minorHAnsi"/>
          <w:sz w:val="22"/>
          <w:szCs w:val="22"/>
        </w:rPr>
        <w:t xml:space="preserve">Palmer, Dennis, C. Wolf, </w:t>
      </w:r>
      <w:r w:rsidRPr="00C817B7">
        <w:rPr>
          <w:rFonts w:asciiTheme="minorHAnsi" w:hAnsiTheme="minorHAnsi" w:cstheme="minorHAnsi"/>
          <w:i/>
          <w:sz w:val="22"/>
          <w:szCs w:val="22"/>
        </w:rPr>
        <w:t>Handbook of Medicine in Developing Countries</w:t>
      </w:r>
      <w:r w:rsidRPr="00C817B7">
        <w:rPr>
          <w:rFonts w:asciiTheme="minorHAnsi" w:hAnsiTheme="minorHAnsi" w:cstheme="minorHAnsi"/>
          <w:sz w:val="22"/>
          <w:szCs w:val="22"/>
        </w:rPr>
        <w:t>, 3</w:t>
      </w:r>
      <w:r w:rsidRPr="00C817B7">
        <w:rPr>
          <w:rFonts w:asciiTheme="minorHAnsi" w:hAnsiTheme="minorHAnsi" w:cstheme="minorHAnsi"/>
          <w:sz w:val="22"/>
          <w:szCs w:val="22"/>
          <w:vertAlign w:val="superscript"/>
        </w:rPr>
        <w:t>rd</w:t>
      </w:r>
      <w:r w:rsidRPr="00C817B7">
        <w:rPr>
          <w:rFonts w:asciiTheme="minorHAnsi" w:hAnsiTheme="minorHAnsi" w:cstheme="minorHAnsi"/>
          <w:sz w:val="22"/>
          <w:szCs w:val="22"/>
        </w:rPr>
        <w:t xml:space="preserve"> </w:t>
      </w:r>
      <w:proofErr w:type="gramStart"/>
      <w:r w:rsidRPr="00C817B7">
        <w:rPr>
          <w:rFonts w:asciiTheme="minorHAnsi" w:hAnsiTheme="minorHAnsi" w:cstheme="minorHAnsi"/>
          <w:sz w:val="22"/>
          <w:szCs w:val="22"/>
        </w:rPr>
        <w:t>ed</w:t>
      </w:r>
      <w:proofErr w:type="gramEnd"/>
      <w:r w:rsidRPr="00C817B7">
        <w:rPr>
          <w:rFonts w:asciiTheme="minorHAnsi" w:hAnsiTheme="minorHAnsi" w:cstheme="minorHAnsi"/>
          <w:sz w:val="22"/>
          <w:szCs w:val="22"/>
        </w:rPr>
        <w:t xml:space="preserve">.  Bristol, TN: Paul </w:t>
      </w:r>
      <w:proofErr w:type="spellStart"/>
      <w:r w:rsidRPr="00C817B7">
        <w:rPr>
          <w:rFonts w:asciiTheme="minorHAnsi" w:hAnsiTheme="minorHAnsi" w:cstheme="minorHAnsi"/>
          <w:sz w:val="22"/>
          <w:szCs w:val="22"/>
        </w:rPr>
        <w:t>Tournier</w:t>
      </w:r>
      <w:proofErr w:type="spellEnd"/>
      <w:r w:rsidRPr="00C817B7">
        <w:rPr>
          <w:rFonts w:asciiTheme="minorHAnsi" w:hAnsiTheme="minorHAnsi" w:cstheme="minorHAnsi"/>
          <w:sz w:val="22"/>
          <w:szCs w:val="22"/>
        </w:rPr>
        <w:t xml:space="preserve"> Institute (Christian Medical &amp; Dental Associations), 2008, ISBN 978-0-9706631-6-0.</w:t>
      </w:r>
    </w:p>
    <w:p w:rsidR="003E77D2" w:rsidRPr="00C817B7" w:rsidRDefault="003E77D2" w:rsidP="003E77D2">
      <w:pPr>
        <w:pStyle w:val="ListParagraph"/>
        <w:numPr>
          <w:ilvl w:val="0"/>
          <w:numId w:val="2"/>
        </w:numPr>
        <w:spacing w:after="200" w:line="276" w:lineRule="auto"/>
        <w:ind w:left="360"/>
        <w:rPr>
          <w:rFonts w:asciiTheme="minorHAnsi" w:hAnsiTheme="minorHAnsi" w:cstheme="minorHAnsi"/>
          <w:sz w:val="22"/>
          <w:szCs w:val="22"/>
        </w:rPr>
      </w:pPr>
      <w:proofErr w:type="spellStart"/>
      <w:r w:rsidRPr="00C817B7">
        <w:rPr>
          <w:rFonts w:asciiTheme="minorHAnsi" w:hAnsiTheme="minorHAnsi" w:cstheme="minorHAnsi"/>
          <w:sz w:val="22"/>
          <w:szCs w:val="22"/>
        </w:rPr>
        <w:t>Kamel</w:t>
      </w:r>
      <w:proofErr w:type="spellEnd"/>
      <w:r w:rsidRPr="00C817B7">
        <w:rPr>
          <w:rFonts w:asciiTheme="minorHAnsi" w:hAnsiTheme="minorHAnsi" w:cstheme="minorHAnsi"/>
          <w:sz w:val="22"/>
          <w:szCs w:val="22"/>
        </w:rPr>
        <w:t xml:space="preserve">, </w:t>
      </w:r>
      <w:proofErr w:type="spellStart"/>
      <w:r w:rsidRPr="00C817B7">
        <w:rPr>
          <w:rFonts w:asciiTheme="minorHAnsi" w:hAnsiTheme="minorHAnsi" w:cstheme="minorHAnsi"/>
          <w:sz w:val="22"/>
          <w:szCs w:val="22"/>
        </w:rPr>
        <w:t>Refaat</w:t>
      </w:r>
      <w:proofErr w:type="spellEnd"/>
      <w:r w:rsidRPr="00C817B7">
        <w:rPr>
          <w:rFonts w:asciiTheme="minorHAnsi" w:hAnsiTheme="minorHAnsi" w:cstheme="minorHAnsi"/>
          <w:sz w:val="22"/>
          <w:szCs w:val="22"/>
        </w:rPr>
        <w:t xml:space="preserve">, J. Lumley, </w:t>
      </w:r>
      <w:r w:rsidRPr="00C817B7">
        <w:rPr>
          <w:rFonts w:asciiTheme="minorHAnsi" w:hAnsiTheme="minorHAnsi" w:cstheme="minorHAnsi"/>
          <w:i/>
          <w:sz w:val="22"/>
          <w:szCs w:val="22"/>
        </w:rPr>
        <w:t>Textbook of Tropical Surgery</w:t>
      </w:r>
      <w:r w:rsidRPr="00C817B7">
        <w:rPr>
          <w:rFonts w:asciiTheme="minorHAnsi" w:hAnsiTheme="minorHAnsi" w:cstheme="minorHAnsi"/>
          <w:sz w:val="22"/>
          <w:szCs w:val="22"/>
        </w:rPr>
        <w:t xml:space="preserve">, London: </w:t>
      </w:r>
      <w:proofErr w:type="spellStart"/>
      <w:r w:rsidRPr="00C817B7">
        <w:rPr>
          <w:rFonts w:asciiTheme="minorHAnsi" w:hAnsiTheme="minorHAnsi" w:cstheme="minorHAnsi"/>
          <w:sz w:val="22"/>
          <w:szCs w:val="22"/>
        </w:rPr>
        <w:t>Westminister</w:t>
      </w:r>
      <w:proofErr w:type="spellEnd"/>
      <w:r w:rsidRPr="00C817B7">
        <w:rPr>
          <w:rFonts w:asciiTheme="minorHAnsi" w:hAnsiTheme="minorHAnsi" w:cstheme="minorHAnsi"/>
          <w:sz w:val="22"/>
          <w:szCs w:val="22"/>
        </w:rPr>
        <w:t xml:space="preserve"> Publishing, 2004, ISBN 9780954685508</w:t>
      </w:r>
    </w:p>
    <w:p w:rsidR="003E77D2" w:rsidRPr="00C817B7" w:rsidRDefault="003E77D2" w:rsidP="003E77D2">
      <w:pPr>
        <w:pStyle w:val="ListParagraph"/>
        <w:numPr>
          <w:ilvl w:val="0"/>
          <w:numId w:val="2"/>
        </w:numPr>
        <w:spacing w:after="200" w:line="276" w:lineRule="auto"/>
        <w:ind w:left="360"/>
        <w:rPr>
          <w:rFonts w:asciiTheme="minorHAnsi" w:hAnsiTheme="minorHAnsi" w:cstheme="minorHAnsi"/>
          <w:sz w:val="22"/>
          <w:szCs w:val="22"/>
        </w:rPr>
      </w:pPr>
      <w:r w:rsidRPr="00C817B7">
        <w:rPr>
          <w:rFonts w:asciiTheme="minorHAnsi" w:hAnsiTheme="minorHAnsi" w:cstheme="minorHAnsi"/>
          <w:sz w:val="22"/>
          <w:szCs w:val="22"/>
        </w:rPr>
        <w:t xml:space="preserve">Ostrow, Brian “Surgery in Africa Review – Surgical Infections I”  October 2005 </w:t>
      </w:r>
      <w:hyperlink r:id="rId22" w:history="1">
        <w:r w:rsidRPr="00C817B7">
          <w:rPr>
            <w:rStyle w:val="Hyperlink"/>
            <w:rFonts w:asciiTheme="minorHAnsi" w:hAnsiTheme="minorHAnsi" w:cstheme="minorHAnsi"/>
            <w:sz w:val="22"/>
            <w:szCs w:val="22"/>
          </w:rPr>
          <w:t>www.ptolemy.ca/members/Surgical_Infections.htm</w:t>
        </w:r>
      </w:hyperlink>
      <w:r w:rsidRPr="00C817B7">
        <w:rPr>
          <w:rFonts w:asciiTheme="minorHAnsi" w:hAnsiTheme="minorHAnsi" w:cstheme="minorHAnsi"/>
          <w:sz w:val="22"/>
          <w:szCs w:val="22"/>
        </w:rPr>
        <w:t xml:space="preserve"> </w:t>
      </w:r>
    </w:p>
    <w:p w:rsidR="003E77D2" w:rsidRPr="00C817B7" w:rsidRDefault="003E77D2" w:rsidP="003E77D2">
      <w:pPr>
        <w:pStyle w:val="ListParagraph"/>
        <w:numPr>
          <w:ilvl w:val="0"/>
          <w:numId w:val="2"/>
        </w:numPr>
        <w:spacing w:after="200" w:line="276" w:lineRule="auto"/>
        <w:ind w:left="360"/>
        <w:rPr>
          <w:rFonts w:asciiTheme="minorHAnsi" w:hAnsiTheme="minorHAnsi" w:cstheme="minorHAnsi"/>
          <w:sz w:val="22"/>
          <w:szCs w:val="22"/>
        </w:rPr>
      </w:pPr>
      <w:r w:rsidRPr="00C817B7">
        <w:rPr>
          <w:rFonts w:asciiTheme="minorHAnsi" w:hAnsiTheme="minorHAnsi" w:cstheme="minorHAnsi"/>
          <w:sz w:val="22"/>
          <w:szCs w:val="22"/>
        </w:rPr>
        <w:t xml:space="preserve">Ostrow, Brian “Surgery in Africa Review – Surgical Infections II – Osteomyelitis, Acute and Chronic”  February, 2006 </w:t>
      </w:r>
      <w:hyperlink r:id="rId23" w:history="1">
        <w:r w:rsidRPr="00C817B7">
          <w:rPr>
            <w:rStyle w:val="Hyperlink"/>
            <w:rFonts w:asciiTheme="minorHAnsi" w:hAnsiTheme="minorHAnsi" w:cstheme="minorHAnsi"/>
            <w:sz w:val="22"/>
            <w:szCs w:val="22"/>
          </w:rPr>
          <w:t>www.ptolemy.ca/members/Surgical_Infections_II.htm</w:t>
        </w:r>
      </w:hyperlink>
    </w:p>
    <w:p w:rsidR="003E77D2" w:rsidRPr="00C817B7" w:rsidRDefault="003E77D2" w:rsidP="003E77D2">
      <w:pPr>
        <w:pStyle w:val="ListParagraph"/>
        <w:numPr>
          <w:ilvl w:val="0"/>
          <w:numId w:val="2"/>
        </w:numPr>
        <w:spacing w:after="200" w:line="276" w:lineRule="auto"/>
        <w:ind w:left="360"/>
        <w:rPr>
          <w:rFonts w:asciiTheme="minorHAnsi" w:hAnsiTheme="minorHAnsi" w:cstheme="minorHAnsi"/>
          <w:sz w:val="22"/>
          <w:szCs w:val="22"/>
        </w:rPr>
      </w:pPr>
      <w:proofErr w:type="spellStart"/>
      <w:r w:rsidRPr="00C817B7">
        <w:rPr>
          <w:rFonts w:asciiTheme="minorHAnsi" w:hAnsiTheme="minorHAnsi" w:cstheme="minorHAnsi"/>
          <w:sz w:val="22"/>
          <w:szCs w:val="22"/>
        </w:rPr>
        <w:t>Osrow</w:t>
      </w:r>
      <w:proofErr w:type="spellEnd"/>
      <w:r w:rsidRPr="00C817B7">
        <w:rPr>
          <w:rFonts w:asciiTheme="minorHAnsi" w:hAnsiTheme="minorHAnsi" w:cstheme="minorHAnsi"/>
          <w:sz w:val="22"/>
          <w:szCs w:val="22"/>
        </w:rPr>
        <w:t xml:space="preserve">, Brian, “Surgery in Africa Review – Surgical Infections III – Thoracic Empyema” April 2006, </w:t>
      </w:r>
      <w:r w:rsidRPr="00C817B7">
        <w:rPr>
          <w:rStyle w:val="Hyperlink"/>
          <w:rFonts w:asciiTheme="minorHAnsi" w:hAnsiTheme="minorHAnsi" w:cstheme="minorHAnsi"/>
          <w:sz w:val="22"/>
          <w:szCs w:val="22"/>
        </w:rPr>
        <w:t>www.ptolemy.ca/members/Empyema.htm</w:t>
      </w:r>
    </w:p>
    <w:p w:rsidR="000A02BA" w:rsidRDefault="000A02BA"/>
    <w:sectPr w:rsidR="000A02BA" w:rsidSect="000A02BA">
      <w:headerReference w:type="default" r:id="rId2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FFB" w:rsidRDefault="00F56FFB" w:rsidP="003E77D2">
      <w:r>
        <w:separator/>
      </w:r>
    </w:p>
  </w:endnote>
  <w:endnote w:type="continuationSeparator" w:id="0">
    <w:p w:rsidR="00F56FFB" w:rsidRDefault="00F56FFB" w:rsidP="003E77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FFB" w:rsidRDefault="00F56FFB" w:rsidP="003E77D2">
      <w:r>
        <w:separator/>
      </w:r>
    </w:p>
  </w:footnote>
  <w:footnote w:type="continuationSeparator" w:id="0">
    <w:p w:rsidR="00F56FFB" w:rsidRDefault="00F56FFB" w:rsidP="003E77D2">
      <w:r>
        <w:continuationSeparator/>
      </w:r>
    </w:p>
  </w:footnote>
  <w:footnote w:id="1">
    <w:p w:rsidR="003E77D2" w:rsidRDefault="003E77D2" w:rsidP="003E77D2">
      <w:pPr>
        <w:pStyle w:val="FootnoteText"/>
      </w:pPr>
      <w:r>
        <w:rPr>
          <w:rStyle w:val="FootnoteReference"/>
        </w:rPr>
        <w:footnoteRef/>
      </w:r>
      <w:r>
        <w:t xml:space="preserve"> Available </w:t>
      </w:r>
      <w:proofErr w:type="gramStart"/>
      <w:r>
        <w:t>from  TALC</w:t>
      </w:r>
      <w:proofErr w:type="gramEnd"/>
      <w:r>
        <w:t xml:space="preserve"> (Teaching Aids at Low Cost), </w:t>
      </w:r>
      <w:smartTag w:uri="urn:schemas-microsoft-com:office:smarttags" w:element="address">
        <w:smartTag w:uri="urn:schemas-microsoft-com:office:smarttags" w:element="Street">
          <w:r>
            <w:t>PO Box</w:t>
          </w:r>
        </w:smartTag>
        <w:r>
          <w:t xml:space="preserve"> 49</w:t>
        </w:r>
      </w:smartTag>
      <w:r>
        <w:t xml:space="preserve">, St. Albans, </w:t>
      </w:r>
      <w:proofErr w:type="spellStart"/>
      <w:smartTag w:uri="urn:schemas-microsoft-com:office:smarttags" w:element="place">
        <w:smartTag w:uri="urn:schemas-microsoft-com:office:smarttags" w:element="City">
          <w:r>
            <w:t>Herts</w:t>
          </w:r>
        </w:smartTag>
        <w:proofErr w:type="spellEnd"/>
        <w:r>
          <w:t xml:space="preserve"> </w:t>
        </w:r>
        <w:smartTag w:uri="urn:schemas-microsoft-com:office:smarttags" w:element="PostalCode">
          <w:r>
            <w:t>AL1 5TX</w:t>
          </w:r>
        </w:smartTag>
        <w:r>
          <w:t xml:space="preserve">, </w:t>
        </w:r>
        <w:smartTag w:uri="urn:schemas-microsoft-com:office:smarttags" w:element="country-region">
          <w:r>
            <w:t>United Kingdom</w:t>
          </w:r>
        </w:smartTag>
      </w:smartTag>
      <w:r>
        <w:t xml:space="preserve">.  E-mail:  </w:t>
      </w:r>
      <w:hyperlink r:id="rId1" w:history="1">
        <w:r w:rsidRPr="00410ECC">
          <w:rPr>
            <w:rStyle w:val="Hyperlink"/>
          </w:rPr>
          <w:t>info@talcuk.org</w:t>
        </w:r>
      </w:hyperlink>
      <w:r>
        <w:t xml:space="preserve"> URL:  </w:t>
      </w:r>
      <w:hyperlink r:id="rId2" w:history="1">
        <w:r w:rsidRPr="005C784C">
          <w:rPr>
            <w:rStyle w:val="Hyperlink"/>
          </w:rPr>
          <w:t>www.talcuk.org</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3C" w:rsidRDefault="00A13F3C">
    <w:pPr>
      <w:pStyle w:val="Header"/>
    </w:pPr>
    <w:r>
      <w:t>GHMC 2011</w:t>
    </w:r>
    <w:r>
      <w:ptab w:relativeTo="margin" w:alignment="center" w:leader="none"/>
    </w:r>
    <w:r>
      <w:t>Pus &amp; Tropical Medicine</w:t>
    </w:r>
    <w:r>
      <w:ptab w:relativeTo="margin" w:alignment="right" w:leader="none"/>
    </w:r>
    <w:proofErr w:type="spellStart"/>
    <w:r>
      <w:t>Buce</w:t>
    </w:r>
    <w:proofErr w:type="spellEnd"/>
    <w:r>
      <w:t xml:space="preserve"> Steffes, MD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2060F6"/>
    <w:multiLevelType w:val="hybridMultilevel"/>
    <w:tmpl w:val="04708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0C5CAE"/>
    <w:multiLevelType w:val="hybridMultilevel"/>
    <w:tmpl w:val="9126D3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characterSpacingControl w:val="doNotCompress"/>
  <w:footnotePr>
    <w:footnote w:id="-1"/>
    <w:footnote w:id="0"/>
  </w:footnotePr>
  <w:endnotePr>
    <w:endnote w:id="-1"/>
    <w:endnote w:id="0"/>
  </w:endnotePr>
  <w:compat/>
  <w:rsids>
    <w:rsidRoot w:val="003E77D2"/>
    <w:rsid w:val="000A02BA"/>
    <w:rsid w:val="003E77D2"/>
    <w:rsid w:val="006249D5"/>
    <w:rsid w:val="007A10B3"/>
    <w:rsid w:val="008D50E4"/>
    <w:rsid w:val="00A13F3C"/>
    <w:rsid w:val="00A85E26"/>
    <w:rsid w:val="00F56F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7D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3E77D2"/>
  </w:style>
  <w:style w:type="paragraph" w:styleId="ListParagraph">
    <w:name w:val="List Paragraph"/>
    <w:basedOn w:val="Normal"/>
    <w:uiPriority w:val="34"/>
    <w:qFormat/>
    <w:rsid w:val="003E77D2"/>
    <w:pPr>
      <w:ind w:left="720"/>
      <w:contextualSpacing/>
    </w:pPr>
  </w:style>
  <w:style w:type="character" w:styleId="Hyperlink">
    <w:name w:val="Hyperlink"/>
    <w:basedOn w:val="DefaultParagraphFont"/>
    <w:rsid w:val="003E77D2"/>
    <w:rPr>
      <w:color w:val="0000FF"/>
      <w:u w:val="single"/>
    </w:rPr>
  </w:style>
  <w:style w:type="paragraph" w:styleId="FootnoteText">
    <w:name w:val="footnote text"/>
    <w:basedOn w:val="Normal"/>
    <w:link w:val="FootnoteTextChar"/>
    <w:semiHidden/>
    <w:rsid w:val="003E77D2"/>
    <w:rPr>
      <w:rFonts w:eastAsia="Times New Roman"/>
      <w:sz w:val="20"/>
      <w:szCs w:val="20"/>
    </w:rPr>
  </w:style>
  <w:style w:type="character" w:customStyle="1" w:styleId="FootnoteTextChar">
    <w:name w:val="Footnote Text Char"/>
    <w:basedOn w:val="DefaultParagraphFont"/>
    <w:link w:val="FootnoteText"/>
    <w:semiHidden/>
    <w:rsid w:val="003E77D2"/>
    <w:rPr>
      <w:rFonts w:ascii="Times New Roman" w:eastAsia="Times New Roman" w:hAnsi="Times New Roman" w:cs="Times New Roman"/>
      <w:sz w:val="20"/>
      <w:szCs w:val="20"/>
    </w:rPr>
  </w:style>
  <w:style w:type="character" w:styleId="FootnoteReference">
    <w:name w:val="footnote reference"/>
    <w:basedOn w:val="DefaultParagraphFont"/>
    <w:semiHidden/>
    <w:rsid w:val="003E77D2"/>
    <w:rPr>
      <w:vertAlign w:val="superscript"/>
    </w:rPr>
  </w:style>
  <w:style w:type="paragraph" w:styleId="BalloonText">
    <w:name w:val="Balloon Text"/>
    <w:basedOn w:val="Normal"/>
    <w:link w:val="BalloonTextChar"/>
    <w:uiPriority w:val="99"/>
    <w:semiHidden/>
    <w:unhideWhenUsed/>
    <w:rsid w:val="003E77D2"/>
    <w:rPr>
      <w:rFonts w:ascii="Tahoma" w:hAnsi="Tahoma" w:cs="Tahoma"/>
      <w:sz w:val="16"/>
      <w:szCs w:val="16"/>
    </w:rPr>
  </w:style>
  <w:style w:type="character" w:customStyle="1" w:styleId="BalloonTextChar">
    <w:name w:val="Balloon Text Char"/>
    <w:basedOn w:val="DefaultParagraphFont"/>
    <w:link w:val="BalloonText"/>
    <w:uiPriority w:val="99"/>
    <w:semiHidden/>
    <w:rsid w:val="003E77D2"/>
    <w:rPr>
      <w:rFonts w:ascii="Tahoma" w:hAnsi="Tahoma" w:cs="Tahoma"/>
      <w:sz w:val="16"/>
      <w:szCs w:val="16"/>
    </w:rPr>
  </w:style>
  <w:style w:type="paragraph" w:styleId="Header">
    <w:name w:val="header"/>
    <w:basedOn w:val="Normal"/>
    <w:link w:val="HeaderChar"/>
    <w:uiPriority w:val="99"/>
    <w:semiHidden/>
    <w:unhideWhenUsed/>
    <w:rsid w:val="00A13F3C"/>
    <w:pPr>
      <w:tabs>
        <w:tab w:val="center" w:pos="4680"/>
        <w:tab w:val="right" w:pos="9360"/>
      </w:tabs>
    </w:pPr>
  </w:style>
  <w:style w:type="character" w:customStyle="1" w:styleId="HeaderChar">
    <w:name w:val="Header Char"/>
    <w:basedOn w:val="DefaultParagraphFont"/>
    <w:link w:val="Header"/>
    <w:uiPriority w:val="99"/>
    <w:semiHidden/>
    <w:rsid w:val="00A13F3C"/>
    <w:rPr>
      <w:rFonts w:ascii="Times New Roman" w:hAnsi="Times New Roman" w:cs="Times New Roman"/>
      <w:sz w:val="24"/>
      <w:szCs w:val="24"/>
    </w:rPr>
  </w:style>
  <w:style w:type="paragraph" w:styleId="Footer">
    <w:name w:val="footer"/>
    <w:basedOn w:val="Normal"/>
    <w:link w:val="FooterChar"/>
    <w:uiPriority w:val="99"/>
    <w:semiHidden/>
    <w:unhideWhenUsed/>
    <w:rsid w:val="00A13F3C"/>
    <w:pPr>
      <w:tabs>
        <w:tab w:val="center" w:pos="4680"/>
        <w:tab w:val="right" w:pos="9360"/>
      </w:tabs>
    </w:pPr>
  </w:style>
  <w:style w:type="character" w:customStyle="1" w:styleId="FooterChar">
    <w:name w:val="Footer Char"/>
    <w:basedOn w:val="DefaultParagraphFont"/>
    <w:link w:val="Footer"/>
    <w:uiPriority w:val="99"/>
    <w:semiHidden/>
    <w:rsid w:val="00A13F3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n.wikipedia.org/wiki/Osteomyelitis" TargetMode="External"/><Relationship Id="rId18" Type="http://schemas.openxmlformats.org/officeDocument/2006/relationships/hyperlink" Target="http://ps.cnis.ca/wiki/index.php/Pus_in_the_pleura,_the_pericardium,_and_the_peritoneu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who.int/surgery/publications/scdh_manual/en/index.html" TargetMode="External"/><Relationship Id="rId7" Type="http://schemas.openxmlformats.org/officeDocument/2006/relationships/hyperlink" Target="http://www.primary-surgery.org/ps/vol1/ch-7.pdf" TargetMode="External"/><Relationship Id="rId12" Type="http://schemas.openxmlformats.org/officeDocument/2006/relationships/hyperlink" Target="http://en.wikipedia.org/wiki/Pyogenic"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Periosteum" TargetMode="External"/><Relationship Id="rId20" Type="http://schemas.openxmlformats.org/officeDocument/2006/relationships/hyperlink" Target="http://www.primary-surgery.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Bon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n.wikipedia.org/wiki/Pus" TargetMode="External"/><Relationship Id="rId23" Type="http://schemas.openxmlformats.org/officeDocument/2006/relationships/hyperlink" Target="http://www.ptolemy.ca/members/Surgical_Infections_II.htm" TargetMode="External"/><Relationship Id="rId10" Type="http://schemas.openxmlformats.org/officeDocument/2006/relationships/hyperlink" Target="http://en.wikipedia.org/wiki/Necrosis" TargetMode="External"/><Relationship Id="rId19" Type="http://schemas.openxmlformats.org/officeDocument/2006/relationships/hyperlink" Target="http://ps.cnis.ca/wiki/index.php/Main_Page" TargetMode="External"/><Relationship Id="rId4" Type="http://schemas.openxmlformats.org/officeDocument/2006/relationships/webSettings" Target="webSettings.xml"/><Relationship Id="rId9" Type="http://schemas.openxmlformats.org/officeDocument/2006/relationships/hyperlink" Target="http://en.wikipedia.org/wiki/Bone" TargetMode="External"/><Relationship Id="rId14" Type="http://schemas.openxmlformats.org/officeDocument/2006/relationships/hyperlink" Target="http://en.wikipedia.org/wiki/Periosteum" TargetMode="External"/><Relationship Id="rId22" Type="http://schemas.openxmlformats.org/officeDocument/2006/relationships/hyperlink" Target="http://www.ptolemy.ca/members/Surgical_Infections.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talcuk.org" TargetMode="External"/><Relationship Id="rId1" Type="http://schemas.openxmlformats.org/officeDocument/2006/relationships/hyperlink" Target="mailto:info@talc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Bruce</cp:lastModifiedBy>
  <cp:revision>2</cp:revision>
  <dcterms:created xsi:type="dcterms:W3CDTF">2011-11-08T11:53:00Z</dcterms:created>
  <dcterms:modified xsi:type="dcterms:W3CDTF">2011-11-08T12:53:00Z</dcterms:modified>
</cp:coreProperties>
</file>